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f5626c0216a86345e046ae7c062f1723571d9d0"/>
    <w:p>
      <w:pPr>
        <w:pStyle w:val="Heading1"/>
      </w:pPr>
      <w:r>
        <w:t xml:space="preserve">Comprehensive Sales Report: Strategic Banking Performance in Algeria Algiers</w:t>
      </w:r>
    </w:p>
    <w:bookmarkStart w:id="20" w:name="executive-summary"/>
    <w:p>
      <w:pPr>
        <w:pStyle w:val="Heading2"/>
      </w:pPr>
      <w:r>
        <w:t xml:space="preserve">Executive Summary</w:t>
      </w:r>
    </w:p>
    <w:p>
      <w:pPr>
        <w:pStyle w:val="FirstParagraph"/>
      </w:pPr>
      <w:r>
        <w:t xml:space="preserve">This quarterly Sales Report presents a detailed analysis of banking performance across key operations within Algeria, with specific emphasis on the dynamic financial landscape of Algiers. As the economic capital and primary commercial hub of Algeria, Algiers serves as the critical nerve center for our banking operations. This document outlines pivotal sales achievements, market challenges, and strategic initiatives executed by our Banking Division between January and March 2024. The report underscores how our dedicated Banker team has navigated Algeria's unique regulatory environment while driving significant growth in client acquisition and portfolio expansion across the Algiers metropolitan area.</w:t>
      </w:r>
    </w:p>
    <w:bookmarkEnd w:id="20"/>
    <w:bookmarkStart w:id="21" w:name="Xa91ce6beba3d8b9141935b6de53c38c44aecd88"/>
    <w:p>
      <w:pPr>
        <w:pStyle w:val="Heading2"/>
      </w:pPr>
      <w:r>
        <w:t xml:space="preserve">Key Performance Indicators: Algeria Algiers Market Focus</w:t>
      </w:r>
    </w:p>
    <w:p>
      <w:pPr>
        <w:pStyle w:val="FirstParagraph"/>
      </w:pPr>
      <w:r>
        <w:t xml:space="preserve">Our Algerian operations, particularly within the Algiers region, demonstrated exceptional resilience amid macroeconomic fluctuations. The Banker team exceeded quarterly targets by 18.7%, securing a total of 142 new corporate accounts and generating DZD 237 billion in transactional volume – a 24% year-on-year increase. Notably, the Algiers branch network (comprising six strategic locations across central districts including Bab El Oued, Hydra, and Soummam) contributed 68% of all national sales revenue. This performance reflects our targeted approach to Algeria's most lucrative market segment: SMEs operating within Algiers' industrial corridors.</w:t>
      </w:r>
    </w:p>
    <w:p>
      <w:pPr>
        <w:pStyle w:val="BodyText"/>
      </w:pPr>
      <w:r>
        <w:rPr>
          <w:bCs/>
          <w:b/>
        </w:rPr>
        <w:t xml:space="preserve">Regional Sales Breakdown (Algiers Focus):</w:t>
      </w:r>
    </w:p>
    <w:p>
      <w:pPr>
        <w:numPr>
          <w:ilvl w:val="0"/>
          <w:numId w:val="1001"/>
        </w:numPr>
        <w:pStyle w:val="Compact"/>
      </w:pPr>
      <w:r>
        <w:rPr>
          <w:bCs/>
          <w:b/>
        </w:rPr>
        <w:t xml:space="preserve">Corporate Banking:</w:t>
      </w:r>
      <w:r>
        <w:t xml:space="preserve"> </w:t>
      </w:r>
      <w:r>
        <w:t xml:space="preserve">DZD 142 billion (31% growth vs. Q4 2023)</w:t>
      </w:r>
    </w:p>
    <w:p>
      <w:pPr>
        <w:numPr>
          <w:ilvl w:val="0"/>
          <w:numId w:val="1001"/>
        </w:numPr>
        <w:pStyle w:val="Compact"/>
      </w:pPr>
      <w:r>
        <w:rPr>
          <w:bCs/>
          <w:b/>
        </w:rPr>
        <w:t xml:space="preserve">SME Lending:</w:t>
      </w:r>
      <w:r>
        <w:t xml:space="preserve"> </w:t>
      </w:r>
      <w:r>
        <w:t xml:space="preserve">87 new accounts opened (up from 65 in previous quarter)</w:t>
      </w:r>
    </w:p>
    <w:p>
      <w:pPr>
        <w:numPr>
          <w:ilvl w:val="0"/>
          <w:numId w:val="1001"/>
        </w:numPr>
        <w:pStyle w:val="Compact"/>
      </w:pPr>
      <w:r>
        <w:rPr>
          <w:bCs/>
          <w:b/>
        </w:rPr>
        <w:t xml:space="preserve">Digital Onboarding:</w:t>
      </w:r>
      <w:r>
        <w:t xml:space="preserve"> </w:t>
      </w:r>
      <w:r>
        <w:t xml:space="preserve">93% of new clients in Algiers registered via mobile platform</w:t>
      </w:r>
    </w:p>
    <w:bookmarkEnd w:id="21"/>
    <w:bookmarkStart w:id="22" w:name="X8a7977ca9724dc3bceb77cd4b5eb31fa7dffe79"/>
    <w:p>
      <w:pPr>
        <w:pStyle w:val="Heading2"/>
      </w:pPr>
      <w:r>
        <w:t xml:space="preserve">Market Analysis: Banking Dynamics in Algeria Algiers</w:t>
      </w:r>
    </w:p>
    <w:p>
      <w:pPr>
        <w:pStyle w:val="FirstParagraph"/>
      </w:pPr>
      <w:r>
        <w:t xml:space="preserve">The Algerian banking sector is undergoing transformative shifts, with Algiers at the epicenter of this evolution. Recent regulatory reforms by the Bank of Algeria have prioritized digital banking expansion and SME financing – aligning perfectly with our strategic sales initiatives in this market. Our Algerian Banker teams conducted 127 client workshops across Algiers in Q1, focusing on government-backed credit schemes like "Investissements Productifs" which saw a 40% surge in demand among local manufacturers.</w:t>
      </w:r>
    </w:p>
    <w:p>
      <w:pPr>
        <w:pStyle w:val="BodyText"/>
      </w:pPr>
      <w:r>
        <w:t xml:space="preserve">Notable trends include:</w:t>
      </w:r>
    </w:p>
    <w:p>
      <w:pPr>
        <w:numPr>
          <w:ilvl w:val="0"/>
          <w:numId w:val="1002"/>
        </w:numPr>
        <w:pStyle w:val="Compact"/>
      </w:pPr>
      <w:r>
        <w:rPr>
          <w:bCs/>
          <w:b/>
        </w:rPr>
        <w:t xml:space="preserve">Digitization Surge:</w:t>
      </w:r>
      <w:r>
        <w:t xml:space="preserve"> </w:t>
      </w:r>
      <w:r>
        <w:t xml:space="preserve">73% of Algiers-based businesses now prefer mobile banking solutions – directly impacting our sales strategy to prioritize digital product bundling</w:t>
      </w:r>
    </w:p>
    <w:p>
      <w:pPr>
        <w:numPr>
          <w:ilvl w:val="0"/>
          <w:numId w:val="1002"/>
        </w:numPr>
        <w:pStyle w:val="Compact"/>
      </w:pPr>
      <w:r>
        <w:rPr>
          <w:bCs/>
          <w:b/>
        </w:rPr>
        <w:t xml:space="preserve">SME Demand Shift:</w:t>
      </w:r>
      <w:r>
        <w:t xml:space="preserve"> </w:t>
      </w:r>
      <w:r>
        <w:t xml:space="preserve">Rising construction and agri-processing sectors in Algiers drove 58% of new loan inquiries</w:t>
      </w:r>
    </w:p>
    <w:p>
      <w:pPr>
        <w:numPr>
          <w:ilvl w:val="0"/>
          <w:numId w:val="1002"/>
        </w:numPr>
        <w:pStyle w:val="Compact"/>
      </w:pPr>
      <w:r>
        <w:rPr>
          <w:bCs/>
          <w:b/>
        </w:rPr>
        <w:t xml:space="preserve">Compliance Integration:</w:t>
      </w:r>
      <w:r>
        <w:t xml:space="preserve"> </w:t>
      </w:r>
      <w:r>
        <w:t xml:space="preserve">Banker teams achieved 100% adherence to new anti-money laundering protocols, enhancing client trust during sales engagements</w:t>
      </w:r>
    </w:p>
    <w:bookmarkEnd w:id="22"/>
    <w:bookmarkStart w:id="26" w:name="X41febd44f1c147476ff32f559fb072765109b08"/>
    <w:p>
      <w:pPr>
        <w:pStyle w:val="Heading2"/>
      </w:pPr>
      <w:r>
        <w:t xml:space="preserve">Strategic Sales Initiatives: Algeria Algiers Success Stories</w:t>
      </w:r>
    </w:p>
    <w:p>
      <w:pPr>
        <w:pStyle w:val="FirstParagraph"/>
      </w:pPr>
      <w:r>
        <w:t xml:space="preserve">The Algerian Banker team implemented three market-specific initiatives that directly contributed to Q1 growth:</w:t>
      </w:r>
    </w:p>
    <w:bookmarkStart w:id="23" w:name="X5ed5a564cd9e2bec394486744f2f25c2b301257"/>
    <w:p>
      <w:pPr>
        <w:pStyle w:val="Heading3"/>
      </w:pPr>
      <w:r>
        <w:t xml:space="preserve">1. Algiers Industrial Corridor Partnership Program</w:t>
      </w:r>
    </w:p>
    <w:p>
      <w:pPr>
        <w:pStyle w:val="FirstParagraph"/>
      </w:pPr>
      <w:r>
        <w:t xml:space="preserve">This targeted initiative partnered with key industrial zones (including Chlef and Sidi Kacem in Algiers region) to offer tailored financing packages. The program secured DZD 89 billion in commitments from 42 manufacturing firms – a first for our bank in Algeria. A standout success was the $12 million loan facility for "Algerian Food Processing" (Algiers-based), which created 300 local jobs and became a flagship client case study.</w:t>
      </w:r>
    </w:p>
    <w:bookmarkEnd w:id="23"/>
    <w:bookmarkStart w:id="24" w:name="digital-sales-enablement-toolkit"/>
    <w:p>
      <w:pPr>
        <w:pStyle w:val="Heading3"/>
      </w:pPr>
      <w:r>
        <w:t xml:space="preserve">2. Digital Sales Enablement Toolkit</w:t>
      </w:r>
    </w:p>
    <w:p>
      <w:pPr>
        <w:pStyle w:val="FirstParagraph"/>
      </w:pPr>
      <w:r>
        <w:t xml:space="preserve">Recognizing Algeria's mobile-first consumer behavior, Banker teams were equipped with localized sales applications featuring DZD pricing, Arabic/French bilingual interfaces, and real-time regulatory compliance checks. This resulted in a 55% reduction in onboarding time for Algiers clients – directly translating to higher conversion rates.</w:t>
      </w:r>
    </w:p>
    <w:bookmarkEnd w:id="24"/>
    <w:bookmarkStart w:id="25" w:name="government-sector-engagement"/>
    <w:p>
      <w:pPr>
        <w:pStyle w:val="Heading3"/>
      </w:pPr>
      <w:r>
        <w:t xml:space="preserve">3. Government Sector Engagement</w:t>
      </w:r>
    </w:p>
    <w:p>
      <w:pPr>
        <w:pStyle w:val="FirstParagraph"/>
      </w:pPr>
      <w:r>
        <w:t xml:space="preserve">Through strategic partnerships with Algeria's Ministry of Finance, our Banker team secured exclusive banking rights for municipal procurement contracts across Algiers wilaya. This initiative generated DZD 45 billion in new transactional business from local government entities within three months.</w:t>
      </w:r>
    </w:p>
    <w:bookmarkEnd w:id="25"/>
    <w:bookmarkEnd w:id="26"/>
    <w:bookmarkStart w:id="27" w:name="challenges-and-strategic-adaptations"/>
    <w:p>
      <w:pPr>
        <w:pStyle w:val="Heading2"/>
      </w:pPr>
      <w:r>
        <w:t xml:space="preserve">Challenges and Strategic Adaptations</w:t>
      </w:r>
    </w:p>
    <w:p>
      <w:pPr>
        <w:pStyle w:val="FirstParagraph"/>
      </w:pPr>
      <w:r>
        <w:t xml:space="preserve">Despite strong performance, Algeria's banking landscape presents unique complexities. The Banker team faced two significant challenges:</w:t>
      </w:r>
    </w:p>
    <w:p>
      <w:pPr>
        <w:numPr>
          <w:ilvl w:val="0"/>
          <w:numId w:val="1003"/>
        </w:numPr>
        <w:pStyle w:val="Compact"/>
      </w:pPr>
      <w:r>
        <w:rPr>
          <w:bCs/>
          <w:b/>
        </w:rPr>
        <w:t xml:space="preserve">Currency Volatility:</w:t>
      </w:r>
      <w:r>
        <w:t xml:space="preserve"> </w:t>
      </w:r>
      <w:r>
        <w:t xml:space="preserve">Fluctuations in USD/DZD rates required dynamic pricing strategies for international trade financing – resolved through real-time exchange rate alerts integrated into our sales platform</w:t>
      </w:r>
    </w:p>
    <w:p>
      <w:pPr>
        <w:numPr>
          <w:ilvl w:val="0"/>
          <w:numId w:val="1003"/>
        </w:numPr>
        <w:pStyle w:val="Compact"/>
      </w:pPr>
      <w:r>
        <w:rPr>
          <w:bCs/>
          <w:b/>
        </w:rPr>
        <w:t xml:space="preserve">Regulatory Navigation:</w:t>
      </w:r>
      <w:r>
        <w:t xml:space="preserve"> </w:t>
      </w:r>
      <w:r>
        <w:t xml:space="preserve">Complex local documentation requirements were streamlined via "Algiers Compliance Co-Pilots" – specialized Banker staff dedicated to expediting paperwork for Algerian clients</w:t>
      </w:r>
    </w:p>
    <w:p>
      <w:pPr>
        <w:pStyle w:val="FirstParagraph"/>
      </w:pPr>
      <w:r>
        <w:t xml:space="preserve">These adaptations reduced average sales cycle times by 33% in Algeria Algiers operations, directly boosting quarterly revenue.</w:t>
      </w:r>
    </w:p>
    <w:bookmarkEnd w:id="27"/>
    <w:bookmarkStart w:id="28" w:name="X227b942f28e22d385abbcedfed23c92989abf84"/>
    <w:p>
      <w:pPr>
        <w:pStyle w:val="Heading2"/>
      </w:pPr>
      <w:r>
        <w:t xml:space="preserve">Future Outlook: Banking Growth Strategy in Algeria Algiers</w:t>
      </w:r>
    </w:p>
    <w:p>
      <w:pPr>
        <w:pStyle w:val="FirstParagraph"/>
      </w:pPr>
      <w:r>
        <w:t xml:space="preserve">Based on Q1 performance, our Sales Report projects sustained growth for the Algerian market. Key future initiatives include:</w:t>
      </w:r>
    </w:p>
    <w:p>
      <w:pPr>
        <w:numPr>
          <w:ilvl w:val="0"/>
          <w:numId w:val="1004"/>
        </w:numPr>
        <w:pStyle w:val="Compact"/>
      </w:pPr>
      <w:r>
        <w:rPr>
          <w:bCs/>
          <w:b/>
        </w:rPr>
        <w:t xml:space="preserve">SME Accelerator Program:</w:t>
      </w:r>
      <w:r>
        <w:t xml:space="preserve"> </w:t>
      </w:r>
      <w:r>
        <w:t xml:space="preserve">Expanding financing to 100+ Algiers-based startups through partnership with "Algeria Startups" incubators</w:t>
      </w:r>
    </w:p>
    <w:p>
      <w:pPr>
        <w:numPr>
          <w:ilvl w:val="0"/>
          <w:numId w:val="1004"/>
        </w:numPr>
        <w:pStyle w:val="Compact"/>
      </w:pPr>
      <w:r>
        <w:rPr>
          <w:bCs/>
          <w:b/>
        </w:rPr>
        <w:t xml:space="preserve">Algiers Digital Hub Launch:</w:t>
      </w:r>
      <w:r>
        <w:t xml:space="preserve"> </w:t>
      </w:r>
      <w:r>
        <w:t xml:space="preserve">Opening a dedicated fintech innovation center in downtown Algiers by Q3 2024</w:t>
      </w:r>
    </w:p>
    <w:p>
      <w:pPr>
        <w:numPr>
          <w:ilvl w:val="0"/>
          <w:numId w:val="1004"/>
        </w:numPr>
        <w:pStyle w:val="Compact"/>
      </w:pPr>
      <w:r>
        <w:rPr>
          <w:bCs/>
          <w:b/>
        </w:rPr>
        <w:t xml:space="preserve">Carbon-Neutral Banking Package:</w:t>
      </w:r>
      <w:r>
        <w:t xml:space="preserve"> </w:t>
      </w:r>
      <w:r>
        <w:t xml:space="preserve">Introducing green financing options for Algiers' eco-friendly industrial parks (aligned with Algeria's National Energy Strategy)</w:t>
      </w:r>
    </w:p>
    <w:p>
      <w:pPr>
        <w:pStyle w:val="FirstParagraph"/>
      </w:pPr>
      <w:r>
        <w:t xml:space="preserve">Our Algerian Banker team will maintain a 70% focus on Algiers operations, recognizing its role as the primary engine for national banking growth. We anticipate DZD 350 billion in total Q2 sales from Algeria, with Algiers contributing at least 72% of this figure.</w:t>
      </w:r>
    </w:p>
    <w:bookmarkEnd w:id="28"/>
    <w:bookmarkStart w:id="29" w:name="conclusion"/>
    <w:p>
      <w:pPr>
        <w:pStyle w:val="Heading2"/>
      </w:pPr>
      <w:r>
        <w:t xml:space="preserve">Conclusion</w:t>
      </w:r>
    </w:p>
    <w:p>
      <w:pPr>
        <w:pStyle w:val="FirstParagraph"/>
      </w:pPr>
      <w:r>
        <w:t xml:space="preserve">This Sales Report confirms that Algeria Algiers remains the most critical market for our banking operations. The exceptional performance of our Banker teams – characterized by deep local market knowledge, regulatory agility, and client-centric digital solutions – has positioned us as a growth leader in Algeria's evolving financial sector. As we continue to navigate Algeria's economic landscape, the focus on sustainable sales strategies within Algiers will drive long-term value creation for both our institution and the Algerian economy. The coming quarters will see intensified investment in Algiers' underserved neighborhoods through community banking initiatives, further solidifying our role as a trusted financial partner across all segments of Algeria.</w:t>
      </w:r>
    </w:p>
    <w:p>
      <w:pPr>
        <w:pStyle w:val="BodyText"/>
      </w:pPr>
      <w:r>
        <w:rPr>
          <w:bCs/>
          <w:b/>
        </w:rPr>
        <w:t xml:space="preserve">Prepared by:</w:t>
      </w:r>
      <w:r>
        <w:t xml:space="preserve"> </w:t>
      </w:r>
      <w:r>
        <w:t xml:space="preserve">Central Sales Strategy Department |</w:t>
      </w:r>
      <w:r>
        <w:t xml:space="preserve"> </w:t>
      </w:r>
      <w:r>
        <w:rPr>
          <w:bCs/>
          <w:b/>
        </w:rPr>
        <w:t xml:space="preserve">Date:</w:t>
      </w:r>
      <w:r>
        <w:t xml:space="preserve"> </w:t>
      </w:r>
      <w:r>
        <w:t xml:space="preserve">April 15, 2024 |</w:t>
      </w:r>
      <w:r>
        <w:t xml:space="preserve"> </w:t>
      </w:r>
      <w:r>
        <w:rPr>
          <w:bCs/>
          <w:b/>
        </w:rPr>
        <w:t xml:space="preserve">Confidential: Algeria Operations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Banking Performance in Algeria Algiers</dc:title>
  <dc:creator/>
  <dc:language>en</dc:language>
  <cp:keywords/>
  <dcterms:created xsi:type="dcterms:W3CDTF">2025-12-12T16:52:22Z</dcterms:created>
  <dcterms:modified xsi:type="dcterms:W3CDTF">2025-12-12T16:52:22Z</dcterms:modified>
</cp:coreProperties>
</file>

<file path=docProps/custom.xml><?xml version="1.0" encoding="utf-8"?>
<Properties xmlns="http://schemas.openxmlformats.org/officeDocument/2006/custom-properties" xmlns:vt="http://schemas.openxmlformats.org/officeDocument/2006/docPropsVTypes"/>
</file>