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Performance</w:t>
      </w:r>
    </w:p>
    <w:bookmarkStart w:id="28" w:name="Xd91a70702af736e17ad45bf8daa94373c78db7c"/>
    <w:p>
      <w:pPr>
        <w:pStyle w:val="Heading1"/>
      </w:pPr>
      <w:r>
        <w:t xml:space="preserve">Sales Report: Banking Performance Analysis for Argentina Buenos Aires Market</w:t>
      </w:r>
    </w:p>
    <w:bookmarkStart w:id="20" w:name="executive-summary"/>
    <w:p>
      <w:pPr>
        <w:pStyle w:val="Heading2"/>
      </w:pPr>
      <w:r>
        <w:t xml:space="preserve">Executive Summary</w:t>
      </w:r>
    </w:p>
    <w:p>
      <w:pPr>
        <w:pStyle w:val="FirstParagraph"/>
      </w:pPr>
      <w:r>
        <w:t xml:space="preserve">This comprehensive Sales Report details the performance of our banking division operating in the dynamic financial landscape of Argentina, with specific focus on Buenos Aires. As a premier banking institution serving the economic heart of South America, we have navigated complex macroeconomic conditions while delivering exceptional value to clients. This report covers Q3 2023 performance metrics, client acquisition trends, market challenges unique to Buenos Aires, and strategic recommendations for our Banker teams. The data confirms that our localized approach in Argentina Buenos Aires has driven sustainable growth amid regional volatility.</w:t>
      </w:r>
    </w:p>
    <w:bookmarkEnd w:id="20"/>
    <w:bookmarkStart w:id="21" w:name="X3cadf67f1cf2e28e8ffbcd2c24dfddd5ba6f6a0"/>
    <w:p>
      <w:pPr>
        <w:pStyle w:val="Heading2"/>
      </w:pPr>
      <w:r>
        <w:t xml:space="preserve">Market Context: Argentina Buenos Aires Banking Dynamics</w:t>
      </w:r>
    </w:p>
    <w:p>
      <w:pPr>
        <w:pStyle w:val="FirstParagraph"/>
      </w:pPr>
      <w:r>
        <w:t xml:space="preserve">Buenos Aires remains the undisputed financial epicenter of Argentina, hosting 75% of the nation's banking operations and driving 60% of national GDP. The city's unique market characteristics demand specialized banking solutions: hyperinflationary pressures (142.4% annual rate as of August 2023), dual-currency economy, and high client expectations for digital transformation. Our Banker teams have successfully adapted to this environment by implementing hyper-localized service models that address Buenos Aires-specific challenges—from navigating Argentina's complex tax regulations to managing inflation-linked product portfolios.</w:t>
      </w:r>
    </w:p>
    <w:bookmarkEnd w:id="21"/>
    <w:bookmarkStart w:id="22" w:name="q3-2023-performance-highlights"/>
    <w:p>
      <w:pPr>
        <w:pStyle w:val="Heading2"/>
      </w:pPr>
      <w:r>
        <w:t xml:space="preserve">Q3 2023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(Buenos Aires)</w:t>
      </w:r>
    </w:p>
    <w:p>
      <w:pPr>
        <w:pStyle w:val="BodyText"/>
      </w:pPr>
      <w:r>
        <w:t xml:space="preserve">1,847</w:t>
      </w:r>
    </w:p>
    <w:p>
      <w:pPr>
        <w:pStyle w:val="BodyText"/>
      </w:pPr>
      <w:r>
        <w:t xml:space="preserve">1,563</w:t>
      </w:r>
    </w:p>
    <w:p>
      <w:pPr>
        <w:pStyle w:val="BodyText"/>
      </w:pPr>
      <w:r>
        <w:t xml:space="preserve">+18.2%</w:t>
      </w:r>
    </w:p>
    <w:p>
      <w:pPr>
        <w:pStyle w:val="BodyText"/>
      </w:pPr>
      <w:r>
        <w:t xml:space="preserve">Portfolio Growth (USD Equivalent)</w:t>
      </w:r>
    </w:p>
    <w:p>
      <w:pPr>
        <w:pStyle w:val="BodyText"/>
      </w:pPr>
      <w:r>
        <w:t xml:space="preserve">$42.7M</w:t>
      </w:r>
    </w:p>
    <w:p>
      <w:pPr>
        <w:pStyle w:val="BodyText"/>
      </w:pPr>
      <w:r>
        <w:t xml:space="preserve">$38.2M</w:t>
      </w:r>
    </w:p>
    <w:p>
      <w:pPr>
        <w:pStyle w:val="BodyText"/>
      </w:pPr>
      <w:r>
        <w:t xml:space="preserve">Client Retention Rate</w:t>
      </w:r>
    </w:p>
    <w:p>
      <w:pPr>
        <w:pStyle w:val="BodyText"/>
      </w:pPr>
      <w:r>
        <w:t xml:space="preserve">93.6%</w:t>
      </w:r>
    </w:p>
    <w:p>
      <w:pPr>
        <w:pStyle w:val="BodyText"/>
      </w:pPr>
      <w:r>
        <w:t xml:space="preserve">91.2%</w:t>
      </w:r>
    </w:p>
    <w:p>
      <w:pPr>
        <w:pStyle w:val="BodyText"/>
      </w:pPr>
      <w:r>
        <w:t xml:space="preserve">Cross-Sell Ratio (Products per Client)</w:t>
      </w:r>
    </w:p>
    <w:p>
      <w:pPr>
        <w:pStyle w:val="BodyText"/>
      </w:pPr>
      <w:r>
        <w:t xml:space="preserve">3.4</w:t>
      </w:r>
    </w:p>
    <w:p>
      <w:pPr>
        <w:pStyle w:val="BodyText"/>
      </w:pPr>
      <w:r>
        <w:t xml:space="preserve">3.1</w:t>
      </w:r>
    </w:p>
    <w:p>
      <w:pPr>
        <w:pStyle w:val="BodyText"/>
      </w:pPr>
      <w:r>
        <w:t xml:space="preserve">The Q3 results demonstrate strong momentum across all segments, particularly in Buenos Aires' commercial banking vertical where we achieved 22% growth in SME accounts—exceeding our target by 8 percentage points. Notably, our Banco de Inversión (Investment Banking) division saw unprecedented traction with local Argentine entrepreneurs seeking inflation-hedged solutions, directly addressing a critical pain point in Argentina Buenos Aires' business ecosystem.</w:t>
      </w:r>
    </w:p>
    <w:bookmarkEnd w:id="22"/>
    <w:bookmarkStart w:id="23" w:name="X628a888894a8c043f23c551647ba40f108c9241"/>
    <w:p>
      <w:pPr>
        <w:pStyle w:val="Heading2"/>
      </w:pPr>
      <w:r>
        <w:t xml:space="preserve">Client Acquisition Strategy: Buenos Aires Focus</w:t>
      </w:r>
    </w:p>
    <w:p>
      <w:pPr>
        <w:pStyle w:val="FirstParagraph"/>
      </w:pPr>
      <w:r>
        <w:t xml:space="preserve">Our Banker teams implemented targeted initiatives specifically designed for Buenos Aires' market nuances:</w:t>
      </w:r>
    </w:p>
    <w:p>
      <w:pPr>
        <w:numPr>
          <w:ilvl w:val="0"/>
          <w:numId w:val="1001"/>
        </w:numPr>
        <w:pStyle w:val="Compact"/>
      </w:pPr>
      <w:r>
        <w:rPr>
          <w:bCs/>
          <w:b/>
        </w:rPr>
        <w:t xml:space="preserve">Hyper-Local Client Onboarding:</w:t>
      </w:r>
      <w:r>
        <w:t xml:space="preserve"> </w:t>
      </w:r>
      <w:r>
        <w:t xml:space="preserve">Dedicated "Buenos Aires Market Advisors" now handle all new clients, providing real-time guidance on Argentina's currency fluctuation protocols and tax implications unique to the city.</w:t>
      </w:r>
    </w:p>
    <w:p>
      <w:pPr>
        <w:numPr>
          <w:ilvl w:val="0"/>
          <w:numId w:val="1001"/>
        </w:numPr>
        <w:pStyle w:val="Compact"/>
      </w:pPr>
      <w:r>
        <w:rPr>
          <w:bCs/>
          <w:b/>
        </w:rPr>
        <w:t xml:space="preserve">Digital Transformation Drive:</w:t>
      </w:r>
      <w:r>
        <w:t xml:space="preserve"> </w:t>
      </w:r>
      <w:r>
        <w:t xml:space="preserve">Launched "Buenos Aires Banking Hub" app with local payment integrations (PagoMóvil, MercadoPago), achieving 78% adoption among new clients within 30 days—significantly above regional average.</w:t>
      </w:r>
    </w:p>
    <w:p>
      <w:pPr>
        <w:numPr>
          <w:ilvl w:val="0"/>
          <w:numId w:val="1001"/>
        </w:numPr>
        <w:pStyle w:val="Compact"/>
      </w:pPr>
      <w:r>
        <w:rPr>
          <w:bCs/>
          <w:b/>
        </w:rPr>
        <w:t xml:space="preserve">SME Specialization:</w:t>
      </w:r>
      <w:r>
        <w:t xml:space="preserve"> </w:t>
      </w:r>
      <w:r>
        <w:t xml:space="preserve">Established sector-specific Banker teams for key Buenos Aires industries: automotive (12.6% market share in local industry), real estate (8.3%), and agribusiness (5.9%).</w:t>
      </w:r>
    </w:p>
    <w:p>
      <w:pPr>
        <w:pStyle w:val="FirstParagraph"/>
      </w:pPr>
      <w:r>
        <w:t xml:space="preserve">These initiatives directly contributed to our 34% increase in high-net-worth client acquisitions within Buenos Aires' Palermo and Recoleta districts—a critical growth corridor for premium banking services.</w:t>
      </w:r>
    </w:p>
    <w:bookmarkEnd w:id="23"/>
    <w:bookmarkStart w:id="24" w:name="X7d5d1cad384b06edb674437dc800852401b0729"/>
    <w:p>
      <w:pPr>
        <w:pStyle w:val="Heading2"/>
      </w:pPr>
      <w:r>
        <w:t xml:space="preserve">Market Challenges &amp; Adaptive Banking Solutions</w:t>
      </w:r>
    </w:p>
    <w:p>
      <w:pPr>
        <w:pStyle w:val="FirstParagraph"/>
      </w:pPr>
      <w:r>
        <w:t xml:space="preserve">The Argentine banking landscape presents distinct challenges that require specialized Banker expertise:</w:t>
      </w:r>
    </w:p>
    <w:p>
      <w:pPr>
        <w:numPr>
          <w:ilvl w:val="0"/>
          <w:numId w:val="1002"/>
        </w:numPr>
        <w:pStyle w:val="Compact"/>
      </w:pPr>
      <w:r>
        <w:rPr>
          <w:bCs/>
          <w:b/>
        </w:rPr>
        <w:t xml:space="preserve">Inflation Volatility:</w:t>
      </w:r>
      <w:r>
        <w:t xml:space="preserve"> </w:t>
      </w:r>
      <w:r>
        <w:t xml:space="preserve">Our Bankers implement daily "Inflation Adjustment Protocols" for client portfolios, transforming this challenge into a value proposition. In Q3, 89% of clients adopted our inflation-linked savings products.</w:t>
      </w:r>
    </w:p>
    <w:p>
      <w:pPr>
        <w:numPr>
          <w:ilvl w:val="0"/>
          <w:numId w:val="1002"/>
        </w:numPr>
        <w:pStyle w:val="Compact"/>
      </w:pPr>
      <w:r>
        <w:rPr>
          <w:bCs/>
          <w:b/>
        </w:rPr>
        <w:t xml:space="preserve">Regulatory Complexity:</w:t>
      </w:r>
      <w:r>
        <w:t xml:space="preserve"> </w:t>
      </w:r>
      <w:r>
        <w:t xml:space="preserve">Buenos Aires has the most intricate banking regulations in Argentina. We created an internal "Buenos Aires Compliance Navigator" tool used by all Bankers to navigate local regulatory requirements in real time.</w:t>
      </w:r>
    </w:p>
    <w:p>
      <w:pPr>
        <w:numPr>
          <w:ilvl w:val="0"/>
          <w:numId w:val="1002"/>
        </w:numPr>
        <w:pStyle w:val="Compact"/>
      </w:pPr>
      <w:r>
        <w:rPr>
          <w:bCs/>
          <w:b/>
        </w:rPr>
        <w:t xml:space="preserve">Digital Divide:</w:t>
      </w:r>
      <w:r>
        <w:t xml:space="preserve"> </w:t>
      </w:r>
      <w:r>
        <w:t xml:space="preserve">Addressing lower digital adoption rates among older Buenos Aires clients through our "Banker Digital Companion" program—providing one-on-one tech training at neighborhood branches.</w:t>
      </w:r>
    </w:p>
    <w:bookmarkEnd w:id="24"/>
    <w:bookmarkStart w:id="25" w:name="X5b3e9edf0990935ce73d56d7a62f02cd727c927"/>
    <w:p>
      <w:pPr>
        <w:pStyle w:val="Heading2"/>
      </w:pPr>
      <w:r>
        <w:t xml:space="preserve">Client Retention Excellence in Argentina Buenos Aires</w:t>
      </w:r>
    </w:p>
    <w:p>
      <w:pPr>
        <w:pStyle w:val="FirstParagraph"/>
      </w:pPr>
      <w:r>
        <w:t xml:space="preserve">Our 93.6% client retention rate (vs industry average of 84%) stems from three Banker-driven initiatives:</w:t>
      </w:r>
    </w:p>
    <w:p>
      <w:pPr>
        <w:numPr>
          <w:ilvl w:val="0"/>
          <w:numId w:val="1003"/>
        </w:numPr>
        <w:pStyle w:val="Compact"/>
      </w:pPr>
      <w:r>
        <w:rPr>
          <w:bCs/>
          <w:b/>
        </w:rPr>
        <w:t xml:space="preserve">Buenos Aires Client Health Score:</w:t>
      </w:r>
      <w:r>
        <w:t xml:space="preserve"> </w:t>
      </w:r>
      <w:r>
        <w:t xml:space="preserve">Quarterly personalized assessments by Bankers identifying at-risk clients before they disengage.</w:t>
      </w:r>
    </w:p>
    <w:p>
      <w:pPr>
        <w:numPr>
          <w:ilvl w:val="0"/>
          <w:numId w:val="1003"/>
        </w:numPr>
        <w:pStyle w:val="Compact"/>
      </w:pPr>
      <w:r>
        <w:rPr>
          <w:bCs/>
          <w:b/>
        </w:rPr>
        <w:t xml:space="preserve">Local Economic Pulse Alerts:</w:t>
      </w:r>
      <w:r>
        <w:t xml:space="preserve"> </w:t>
      </w:r>
      <w:r>
        <w:t xml:space="preserve">Customized market updates sent by Bankers to each client based on their specific Buenos Aires business sector.</w:t>
      </w:r>
    </w:p>
    <w:p>
      <w:pPr>
        <w:numPr>
          <w:ilvl w:val="0"/>
          <w:numId w:val="1003"/>
        </w:numPr>
        <w:pStyle w:val="Compact"/>
      </w:pPr>
      <w:r>
        <w:rPr>
          <w:bCs/>
          <w:b/>
        </w:rPr>
        <w:t xml:space="preserve">Premium Neighborhood Engagement:</w:t>
      </w:r>
      <w:r>
        <w:t xml:space="preserve"> </w:t>
      </w:r>
      <w:r>
        <w:t xml:space="preserve">Exclusive quarterly "Buenos Aires Economic Roundtables" hosted by senior Bankers at local cultural venues (e.g., Teatro Colón, La Recoleta Cemetery event spaces).</w:t>
      </w:r>
    </w:p>
    <w:p>
      <w:pPr>
        <w:pStyle w:val="FirstParagraph"/>
      </w:pPr>
      <w:r>
        <w:t xml:space="preserve">This localized approach has created exceptional client loyalty, with 73% of retained clients increasing their portfolio value during Q3.</w:t>
      </w:r>
    </w:p>
    <w:bookmarkEnd w:id="25"/>
    <w:bookmarkStart w:id="26" w:name="X5abe87c7e812db3d1a9a6bc3d7d10678620e08b"/>
    <w:p>
      <w:pPr>
        <w:pStyle w:val="Heading2"/>
      </w:pPr>
      <w:r>
        <w:t xml:space="preserve">Strategic Recommendations for Future Sales Performance</w:t>
      </w:r>
    </w:p>
    <w:p>
      <w:pPr>
        <w:pStyle w:val="FirstParagraph"/>
      </w:pPr>
      <w:r>
        <w:t xml:space="preserve">To sustain growth in Argentina Buenos Aires, we recommend the following Banker-focused initiatives:</w:t>
      </w:r>
    </w:p>
    <w:p>
      <w:pPr>
        <w:numPr>
          <w:ilvl w:val="0"/>
          <w:numId w:val="1004"/>
        </w:numPr>
        <w:pStyle w:val="Compact"/>
      </w:pPr>
      <w:r>
        <w:rPr>
          <w:bCs/>
          <w:b/>
        </w:rPr>
        <w:t xml:space="preserve">Expand "Buenos Aires Market Intelligence" Program:</w:t>
      </w:r>
      <w:r>
        <w:t xml:space="preserve"> </w:t>
      </w:r>
      <w:r>
        <w:t xml:space="preserve">Equip every Banker with real-time data dashboards tracking neighborhood-specific economic indicators across 20 distinct Buenos Aires districts.</w:t>
      </w:r>
    </w:p>
    <w:p>
      <w:pPr>
        <w:numPr>
          <w:ilvl w:val="0"/>
          <w:numId w:val="1004"/>
        </w:numPr>
        <w:pStyle w:val="Compact"/>
      </w:pPr>
      <w:r>
        <w:rPr>
          <w:bCs/>
          <w:b/>
        </w:rPr>
        <w:t xml:space="preserve">Launch Argentine Inflation Shield Product Suite:</w:t>
      </w:r>
      <w:r>
        <w:t xml:space="preserve"> </w:t>
      </w:r>
      <w:r>
        <w:t xml:space="preserve">Develop new banking products explicitly designed for Argentina's inflationary environment, to be led by our Buenos Aires-based product development team.</w:t>
      </w:r>
    </w:p>
    <w:p>
      <w:pPr>
        <w:numPr>
          <w:ilvl w:val="0"/>
          <w:numId w:val="1004"/>
        </w:numPr>
        <w:pStyle w:val="Compact"/>
      </w:pPr>
      <w:r>
        <w:rPr>
          <w:bCs/>
          <w:b/>
        </w:rPr>
        <w:t xml:space="preserve">Create Banker "Buenos Aires Ambassadors" Program:</w:t>
      </w:r>
      <w:r>
        <w:t xml:space="preserve"> </w:t>
      </w:r>
      <w:r>
        <w:t xml:space="preserve">Certify top-performing Bankers as city specialists who mentor peers on local market nuances.</w:t>
      </w:r>
    </w:p>
    <w:p>
      <w:pPr>
        <w:numPr>
          <w:ilvl w:val="0"/>
          <w:numId w:val="1004"/>
        </w:numPr>
        <w:pStyle w:val="Compact"/>
      </w:pPr>
      <w:r>
        <w:rPr>
          <w:bCs/>
          <w:b/>
        </w:rPr>
        <w:t xml:space="preserve">Strengthen SME Partnership Network:</w:t>
      </w:r>
      <w:r>
        <w:t xml:space="preserve"> </w:t>
      </w:r>
      <w:r>
        <w:t xml:space="preserve">Forge strategic alliances with key Buenos Aires business associations (Cámara Argentina de Comercio, CAME) to co-host client events.</w:t>
      </w:r>
    </w:p>
    <w:bookmarkEnd w:id="26"/>
    <w:bookmarkStart w:id="27" w:name="X3d41d43b191b1083a61d0033e0dea9f67680835"/>
    <w:p>
      <w:pPr>
        <w:pStyle w:val="Heading2"/>
      </w:pPr>
      <w:r>
        <w:t xml:space="preserve">Conclusion: Banking for Argentina Buenos Aires' Future</w:t>
      </w:r>
    </w:p>
    <w:p>
      <w:pPr>
        <w:pStyle w:val="FirstParagraph"/>
      </w:pPr>
      <w:r>
        <w:t xml:space="preserve">This Sales Report affirms that our Banker teams in Argentina Buenos Aires have not merely survived but thrived in one of the world's most challenging banking environments. By embedding hyper-local expertise into every client interaction, we've transformed market volatility into competitive advantage. The 18.2% year-over-year increase in new client acquisition demonstrates that Buenos Aires clients recognize and value our specialized approach to Argentina's unique financial landscape.</w:t>
      </w:r>
    </w:p>
    <w:p>
      <w:pPr>
        <w:pStyle w:val="BodyText"/>
      </w:pPr>
      <w:r>
        <w:t xml:space="preserve">As the economic situation evolves, our commitment to Argentine banking excellence remains unwavering. Every Banker in Buenos Aires is now empowered with the tools, knowledge, and market insights necessary to deliver exceptional value—proving that deep understanding of Argentina Buenos Aires' economic ecosystem is the ultimate sales differentiator. We project continued growth of 20-25% for Q4 2023 as our localized strategies gain further traction across this vital market.</w:t>
      </w:r>
    </w:p>
    <w:p>
      <w:pPr>
        <w:pStyle w:val="BodyText"/>
      </w:pPr>
      <w:r>
        <w:rPr>
          <w:bCs/>
          <w:b/>
        </w:rPr>
        <w:t xml:space="preserve">Prepared by:</w:t>
      </w:r>
      <w:r>
        <w:t xml:space="preserve"> </w:t>
      </w:r>
      <w:r>
        <w:t xml:space="preserve">Global Banking Strategy Division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Buenos Aires,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Sales Report - Banking Performance</dc:title>
  <dc:creator/>
  <dc:language>en</dc:language>
  <cp:keywords/>
  <dcterms:created xsi:type="dcterms:W3CDTF">2026-07-21T15:01:10Z</dcterms:created>
  <dcterms:modified xsi:type="dcterms:W3CDTF">2026-07-21T15:01:10Z</dcterms:modified>
</cp:coreProperties>
</file>

<file path=docProps/custom.xml><?xml version="1.0" encoding="utf-8"?>
<Properties xmlns="http://schemas.openxmlformats.org/officeDocument/2006/custom-properties" xmlns:vt="http://schemas.openxmlformats.org/officeDocument/2006/docPropsVTypes"/>
</file>