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Australia</w:t>
      </w:r>
      <w:r>
        <w:t xml:space="preserve"> </w:t>
      </w:r>
      <w:r>
        <w:t xml:space="preserve">Melbourne</w:t>
      </w:r>
      <w:r>
        <w:t xml:space="preserve"> </w:t>
      </w:r>
      <w:r>
        <w:t xml:space="preserve">Sales</w:t>
      </w:r>
      <w:r>
        <w:t xml:space="preserve"> </w:t>
      </w:r>
      <w:r>
        <w:t xml:space="preserve">Report</w:t>
      </w:r>
      <w:r>
        <w:t xml:space="preserve"> </w:t>
      </w:r>
      <w:r>
        <w:t xml:space="preserve">|</w:t>
      </w:r>
      <w:r>
        <w:t xml:space="preserve"> </w:t>
      </w:r>
      <w:r>
        <w:t xml:space="preserve">Banking</w:t>
      </w:r>
      <w:r>
        <w:t xml:space="preserve"> </w:t>
      </w:r>
      <w:r>
        <w:t xml:space="preserve">Performance</w:t>
      </w:r>
      <w:r>
        <w:t xml:space="preserve"> </w:t>
      </w:r>
      <w:r>
        <w:t xml:space="preserve">Analysis</w:t>
      </w:r>
    </w:p>
    <w:bookmarkStart w:id="29" w:name="Xff13c8aabbb186c72ae1f6bd080a2bc43362530"/>
    <w:p>
      <w:pPr>
        <w:pStyle w:val="Heading1"/>
      </w:pPr>
      <w:r>
        <w:t xml:space="preserve">Comprehensive Sales Report: Banking Performance in Australia Melbourne Market</w:t>
      </w:r>
    </w:p>
    <w:bookmarkStart w:id="20" w:name="executive-summary"/>
    <w:p>
      <w:pPr>
        <w:pStyle w:val="Heading2"/>
      </w:pPr>
      <w:r>
        <w:t xml:space="preserve">Executive Summary</w:t>
      </w:r>
    </w:p>
    <w:p>
      <w:pPr>
        <w:pStyle w:val="FirstParagraph"/>
      </w:pPr>
      <w:r>
        <w:t xml:space="preserve">This Sales Report provides a detailed analysis of banking performance across the Melbourne metropolitan area, focusing on strategic initiatives, market positioning, and client acquisition metrics for [Bank Name], a leading financial institution operating within Australia's largest financial hub. As Melbourne continues to solidify its reputation as Australia's premier economic engine—contributing 20% to national GDP while hosting over 50% of the nation's banking headquarters—the Sales Report highlights our banker-led growth strategy that has driven a 18.7% year-on-year increase in client portfolio value within Victoria's capital city.</w:t>
      </w:r>
    </w:p>
    <w:bookmarkEnd w:id="20"/>
    <w:bookmarkStart w:id="21" w:name="X73fda8887b0da1a522d32935de057853400d1ef"/>
    <w:p>
      <w:pPr>
        <w:pStyle w:val="Heading2"/>
      </w:pPr>
      <w:r>
        <w:t xml:space="preserve">Market Context: Melbourne Banking Landscape</w:t>
      </w:r>
    </w:p>
    <w:p>
      <w:pPr>
        <w:pStyle w:val="FirstParagraph"/>
      </w:pPr>
      <w:r>
        <w:t xml:space="preserve">The Australia Melbourne banking sector operates within a uniquely dynamic environment characterized by robust population growth (3.2% annually), rising SME activity, and heightened competition from both domestic and international players. As a Banker serving this market, we've observed that 68% of Melbourne's business expansion occurs through strategic partnerships with local financial institutions—a metric directly tied to our sales strategy. The city's status as Australia's education capital (home to 4 of the top 10 universities) and innovation hub (12% of national R&amp;D expenditure) creates fertile ground for specialized banking solutions, making this Melbourne-focused Sales Report critical for our regional growth trajectory.</w:t>
      </w:r>
    </w:p>
    <w:bookmarkEnd w:id="21"/>
    <w:bookmarkStart w:id="23" w:name="sales-performance-breakdown"/>
    <w:p>
      <w:pPr>
        <w:pStyle w:val="Heading2"/>
      </w:pPr>
      <w:r>
        <w:t xml:space="preserve">Sales Performance Breakdown</w:t>
      </w:r>
    </w:p>
    <w:p>
      <w:pPr>
        <w:pStyle w:val="FirstParagraph"/>
      </w:pPr>
      <w:r>
        <w:rPr>
          <w:bCs/>
          <w:b/>
        </w:rPr>
        <w:t xml:space="preserve">Key Achievement:</w:t>
      </w:r>
      <w:r>
        <w:t xml:space="preserve"> </w:t>
      </w:r>
      <w:r>
        <w:t xml:space="preserve">A 34.5% surge in new business acquisitions across Melbourne branches compared to Q1 2023, with the highest growth in SME banking (41%) and corporate finance (28%). This outpaces the national average of 19% for metropolitan banking sales.</w:t>
      </w:r>
    </w:p>
    <w:p>
      <w:pPr>
        <w:pStyle w:val="BodyText"/>
      </w:pPr>
      <w:r>
        <w:t xml:space="preserve">Product Line</w:t>
      </w:r>
    </w:p>
    <w:p>
      <w:pPr>
        <w:pStyle w:val="BodyText"/>
      </w:pPr>
      <w:r>
        <w:t xml:space="preserve">Q3 2023 Sales ($A)</w:t>
      </w:r>
    </w:p>
    <w:p>
      <w:pPr>
        <w:pStyle w:val="BodyText"/>
      </w:pPr>
      <w:r>
        <w:t xml:space="preserve">Q3 2024 Sales ($A)</w:t>
      </w:r>
    </w:p>
    <w:p>
      <w:pPr>
        <w:pStyle w:val="BodyText"/>
      </w:pPr>
      <w:r>
        <w:t xml:space="preserve">% Growth</w:t>
      </w:r>
    </w:p>
    <w:p>
      <w:pPr>
        <w:pStyle w:val="BodyText"/>
      </w:pPr>
      <w:r>
        <w:t xml:space="preserve">SME Lending</w:t>
      </w:r>
    </w:p>
    <w:p>
      <w:pPr>
        <w:pStyle w:val="BodyText"/>
      </w:pPr>
      <w:r>
        <w:t xml:space="preserve">$18.7M</w:t>
      </w:r>
    </w:p>
    <w:p>
      <w:pPr>
        <w:pStyle w:val="BodyText"/>
      </w:pPr>
      <w:r>
        <w:t xml:space="preserve">$25.3M</w:t>
      </w:r>
    </w:p>
    <w:p>
      <w:pPr>
        <w:pStyle w:val="BodyText"/>
      </w:pPr>
      <w:r>
        <w:t xml:space="preserve">34.8%</w:t>
      </w:r>
    </w:p>
    <w:p>
      <w:pPr>
        <w:pStyle w:val="BodyText"/>
      </w:pPr>
      <w:r>
        <w:t xml:space="preserve">Credit Facilities (Corporate)</w:t>
      </w:r>
    </w:p>
    <w:p>
      <w:pPr>
        <w:pStyle w:val="BodyText"/>
      </w:pPr>
      <w:r>
        <w:t xml:space="preserve">$9.2M</w:t>
      </w:r>
    </w:p>
    <w:p>
      <w:pPr>
        <w:pStyle w:val="BodyText"/>
      </w:pPr>
      <w:r>
        <w:t xml:space="preserve">Total Melbourne Sales</w:t>
      </w:r>
    </w:p>
    <w:p>
      <w:pPr>
        <w:pStyle w:val="BodyText"/>
      </w:pPr>
      <w:r>
        <w:t xml:space="preserve">$68.5M</w:t>
      </w:r>
    </w:p>
    <w:p>
      <w:pPr>
        <w:pStyle w:val="BodyText"/>
      </w:pPr>
      <w:r>
        <w:t xml:space="preserve">$92.1M</w:t>
      </w:r>
    </w:p>
    <w:p>
      <w:pPr>
        <w:pStyle w:val="BodyText"/>
      </w:pPr>
      <w:r>
        <w:t xml:space="preserve">34.5%</w:t>
      </w:r>
    </w:p>
    <w:bookmarkStart w:id="22" w:name="strategic-initiatives-driving-success"/>
    <w:p>
      <w:pPr>
        <w:pStyle w:val="Heading3"/>
      </w:pPr>
      <w:r>
        <w:t xml:space="preserve">Strategic Initiatives Driving Success</w:t>
      </w:r>
    </w:p>
    <w:p>
      <w:pPr>
        <w:pStyle w:val="FirstParagraph"/>
      </w:pPr>
      <w:r>
        <w:t xml:space="preserve">Our Banker team implemented three targeted Melbourne-specific sales initiatives:</w:t>
      </w:r>
    </w:p>
    <w:p>
      <w:pPr>
        <w:numPr>
          <w:ilvl w:val="0"/>
          <w:numId w:val="1001"/>
        </w:numPr>
        <w:pStyle w:val="Compact"/>
      </w:pPr>
      <w:r>
        <w:rPr>
          <w:bCs/>
          <w:b/>
        </w:rPr>
        <w:t xml:space="preserve">Niche Market Specialization:</w:t>
      </w:r>
      <w:r>
        <w:t xml:space="preserve"> </w:t>
      </w:r>
      <w:r>
        <w:t xml:space="preserve">Dedicated teams focused on Melbourne's key sectors—advanced manufacturing (28% of new clients), agribusiness (19%), and tech startups (33%)—resulting in 52% higher conversion rates than generic banking approaches.</w:t>
      </w:r>
    </w:p>
    <w:p>
      <w:pPr>
        <w:numPr>
          <w:ilvl w:val="0"/>
          <w:numId w:val="1001"/>
        </w:numPr>
        <w:pStyle w:val="Compact"/>
      </w:pPr>
      <w:r>
        <w:rPr>
          <w:bCs/>
          <w:b/>
        </w:rPr>
        <w:t xml:space="preserve">Hyper-Local Engagement:</w:t>
      </w:r>
      <w:r>
        <w:t xml:space="preserve"> </w:t>
      </w:r>
      <w:r>
        <w:t xml:space="preserve">Partnering with Melbourne-based organizations like the City of Melbourne, Trade Australia, and RMIT University to co-host industry forums. This generated 147 qualified leads in Q3 alone.</w:t>
      </w:r>
    </w:p>
    <w:bookmarkEnd w:id="22"/>
    <w:bookmarkEnd w:id="23"/>
    <w:bookmarkStart w:id="24" w:name="Xb118a70586aeba1c587da48fc36f80474b2f606"/>
    <w:p>
      <w:pPr>
        <w:pStyle w:val="Heading2"/>
      </w:pPr>
      <w:r>
        <w:t xml:space="preserve">Client Acquisition &amp; Retention Metrics (Australia Melbourne)</w:t>
      </w:r>
    </w:p>
    <w:p>
      <w:pPr>
        <w:pStyle w:val="FirstParagraph"/>
      </w:pPr>
      <w:r>
        <w:t xml:space="preserve">The Sales Report underscores our success in building long-term relationships within the Melbourne market, evidenced by:</w:t>
      </w:r>
    </w:p>
    <w:p>
      <w:pPr>
        <w:numPr>
          <w:ilvl w:val="0"/>
          <w:numId w:val="1002"/>
        </w:numPr>
        <w:pStyle w:val="Compact"/>
      </w:pPr>
      <w:r>
        <w:rPr>
          <w:bCs/>
          <w:b/>
        </w:rPr>
        <w:t xml:space="preserve">Client Lifetime Value:</w:t>
      </w:r>
      <w:r>
        <w:t xml:space="preserve"> </w:t>
      </w:r>
      <w:r>
        <w:t xml:space="preserve">Increased by 27% for existing Melbourne clients through cross-selling of wealth management and FX services.</w:t>
      </w:r>
    </w:p>
    <w:p>
      <w:pPr>
        <w:numPr>
          <w:ilvl w:val="0"/>
          <w:numId w:val="1002"/>
        </w:numPr>
        <w:pStyle w:val="Compact"/>
      </w:pPr>
      <w:r>
        <w:rPr>
          <w:bCs/>
          <w:b/>
        </w:rPr>
        <w:t xml:space="preserve">Retention Rate:</w:t>
      </w:r>
      <w:r>
        <w:t xml:space="preserve"> </w:t>
      </w:r>
      <w:r>
        <w:t xml:space="preserve">94.3%—surpassing the Australia average of 89.1%—attributed to personalized service from our dedicated Melbourne banker teams.</w:t>
      </w:r>
    </w:p>
    <w:p>
      <w:pPr>
        <w:numPr>
          <w:ilvl w:val="0"/>
          <w:numId w:val="1002"/>
        </w:numPr>
        <w:pStyle w:val="Compact"/>
      </w:pPr>
      <w:r>
        <w:rPr>
          <w:bCs/>
          <w:b/>
        </w:rPr>
        <w:t xml:space="preserve">Satisfaction Score:</w:t>
      </w:r>
      <w:r>
        <w:t xml:space="preserve"> </w:t>
      </w:r>
      <w:r>
        <w:t xml:space="preserve">4.6/5 (Melbourne clients) versus 4.2/5 nationally, directly linked to our "Banker for Life" relationship model.</w:t>
      </w:r>
    </w:p>
    <w:bookmarkEnd w:id="24"/>
    <w:bookmarkStart w:id="25" w:name="challenges-in-the-melbourne-market"/>
    <w:p>
      <w:pPr>
        <w:pStyle w:val="Heading2"/>
      </w:pPr>
      <w:r>
        <w:t xml:space="preserve">Challenges in the Melbourne Market</w:t>
      </w:r>
    </w:p>
    <w:p>
      <w:pPr>
        <w:pStyle w:val="FirstParagraph"/>
      </w:pPr>
      <w:r>
        <w:t xml:space="preserve">The Sales Report identifies three key challenges requiring strategic adaptation:</w:t>
      </w:r>
    </w:p>
    <w:p>
      <w:pPr>
        <w:numPr>
          <w:ilvl w:val="0"/>
          <w:numId w:val="1003"/>
        </w:numPr>
        <w:pStyle w:val="Compact"/>
      </w:pPr>
      <w:r>
        <w:rPr>
          <w:bCs/>
          <w:b/>
        </w:rPr>
        <w:t xml:space="preserve">Regulatory Complexity:</w:t>
      </w:r>
      <w:r>
        <w:t xml:space="preserve"> </w:t>
      </w:r>
      <w:r>
        <w:t xml:space="preserve">New ASIC reporting requirements for Victorian SMEs added 15% administrative time per deal. Our banker team mitigated this through specialized compliance training, reducing onboarding timelines by 22%.</w:t>
      </w:r>
    </w:p>
    <w:p>
      <w:pPr>
        <w:numPr>
          <w:ilvl w:val="0"/>
          <w:numId w:val="1003"/>
        </w:numPr>
        <w:pStyle w:val="Compact"/>
      </w:pPr>
      <w:r>
        <w:rPr>
          <w:bCs/>
          <w:b/>
        </w:rPr>
        <w:t xml:space="preserve">Competitive Pressure:</w:t>
      </w:r>
      <w:r>
        <w:t xml:space="preserve"> </w:t>
      </w:r>
      <w:r>
        <w:t xml:space="preserve">Rival banks aggressively targeting Melbourne's commercial real estate sector with low-rate offers. We countered by developing tailored "Melbourne Property Growth" packages featuring flexible drawdown structures.</w:t>
      </w:r>
    </w:p>
    <w:p>
      <w:pPr>
        <w:numPr>
          <w:ilvl w:val="0"/>
          <w:numId w:val="1003"/>
        </w:numPr>
        <w:pStyle w:val="Compact"/>
      </w:pPr>
      <w:r>
        <w:rPr>
          <w:bCs/>
          <w:b/>
        </w:rPr>
        <w:t xml:space="preserve">Talent Acquisition:</w:t>
      </w:r>
      <w:r>
        <w:t xml:space="preserve"> </w:t>
      </w:r>
      <w:r>
        <w:t xml:space="preserve">37% of Melbourne banking vacancies remain unfilled due to fierce competition for specialized bankers. Our solution was launching the "Melbourne Banking Academy," training 42 new bankers in Q3.</w:t>
      </w:r>
    </w:p>
    <w:bookmarkEnd w:id="25"/>
    <w:bookmarkStart w:id="26" w:name="X7bd7e4e302a86683313ef68a1415c28737c2695"/>
    <w:p>
      <w:pPr>
        <w:pStyle w:val="Heading2"/>
      </w:pPr>
      <w:r>
        <w:t xml:space="preserve">Success Story: The Docklands SME Initiative</w:t>
      </w:r>
    </w:p>
    <w:p>
      <w:pPr>
        <w:pStyle w:val="FirstParagraph"/>
      </w:pPr>
      <w:r>
        <w:t xml:space="preserve">A prime example of our Melbourne-focused sales strategy is the Docklands Commercial Hub program. As a Banker, I personally led the development of customized financing for 18 tech startups in Melbourne's innovation district. This initiative generated $6.3M in new loans within 90 days—exceeding targets by 230%—and established [Bank Name] as the preferred lender for Melbourne's emerging tech ecosystem. The success was amplified through co-hosted events with the Docklands Development Authority, directly linking our Sales Report metrics to tangible community impact.</w:t>
      </w:r>
    </w:p>
    <w:bookmarkEnd w:id="26"/>
    <w:bookmarkStart w:id="27" w:name="future-outlook-strategic-priorities"/>
    <w:p>
      <w:pPr>
        <w:pStyle w:val="Heading2"/>
      </w:pPr>
      <w:r>
        <w:t xml:space="preserve">Future Outlook &amp; Strategic Priorities</w:t>
      </w:r>
    </w:p>
    <w:p>
      <w:pPr>
        <w:pStyle w:val="FirstParagraph"/>
      </w:pPr>
      <w:r>
        <w:t xml:space="preserve">Based on this Australia Melbourne Sales Report, our banker team recommends three priority actions for 2025:</w:t>
      </w:r>
    </w:p>
    <w:p>
      <w:pPr>
        <w:numPr>
          <w:ilvl w:val="0"/>
          <w:numId w:val="1004"/>
        </w:numPr>
        <w:pStyle w:val="Compact"/>
      </w:pPr>
      <w:r>
        <w:rPr>
          <w:bCs/>
          <w:b/>
        </w:rPr>
        <w:t xml:space="preserve">Expand Melbourne Innovation Banking:</w:t>
      </w:r>
      <w:r>
        <w:t xml:space="preserve"> </w:t>
      </w:r>
      <w:r>
        <w:t xml:space="preserve">Allocate $3.8M to create a dedicated "Melbourne Future Fund" for climate tech and green infrastructure projects—addressing Victoria's 2030 net-zero target.</w:t>
      </w:r>
    </w:p>
    <w:p>
      <w:pPr>
        <w:numPr>
          <w:ilvl w:val="0"/>
          <w:numId w:val="1004"/>
        </w:numPr>
        <w:pStyle w:val="Compact"/>
      </w:pPr>
      <w:r>
        <w:rPr>
          <w:bCs/>
          <w:b/>
        </w:rPr>
        <w:t xml:space="preserve">Enhance Digital Sales Capabilities:</w:t>
      </w:r>
      <w:r>
        <w:t xml:space="preserve"> </w:t>
      </w:r>
      <w:r>
        <w:t xml:space="preserve">Invest in AI-driven client analytics to predict Melbourne-specific needs (e.g., anticipating retail sector downturns during school holidays).</w:t>
      </w:r>
    </w:p>
    <w:p>
      <w:pPr>
        <w:numPr>
          <w:ilvl w:val="0"/>
          <w:numId w:val="1004"/>
        </w:numPr>
        <w:pStyle w:val="Compact"/>
      </w:pPr>
      <w:r>
        <w:rPr>
          <w:bCs/>
          <w:b/>
        </w:rPr>
        <w:t xml:space="preserve">Deepen Community Partnerships:</w:t>
      </w:r>
      <w:r>
        <w:t xml:space="preserve"> </w:t>
      </w:r>
      <w:r>
        <w:t xml:space="preserve">Forge 15 new alliances with Melbourne community organizations by Q2 2025, building trust beyond transactional banking.</w:t>
      </w:r>
    </w:p>
    <w:bookmarkEnd w:id="27"/>
    <w:bookmarkStart w:id="28" w:name="conclusion"/>
    <w:p>
      <w:pPr>
        <w:pStyle w:val="Heading2"/>
      </w:pPr>
      <w:r>
        <w:t xml:space="preserve">Conclusion</w:t>
      </w:r>
    </w:p>
    <w:p>
      <w:pPr>
        <w:pStyle w:val="FirstParagraph"/>
      </w:pPr>
      <w:r>
        <w:t xml:space="preserve">This Sales Report unequivocally demonstrates that our banker-led approach in Australia Melbourne is delivering exceptional results. By embedding ourselves within the city's economic fabric—through sector specialization, community engagement, and adaptive sales strategies—we've transformed Melbourne from a competitive market into our strongest growth engine. The data confirms that for banking institutions operating in Australia Melbourne, client-centric solutions developed by dedicated local bankers directly correlate with sustainable revenue growth (as evidenced by our 34.5% YoY increase). As we look ahead, we remain committed to being the Banker of choice for Melbourne's evolving economic landscape, ensuring every sales initiative reflects our unwavering focus on the unique opportunities and challenges of this vibrant Australian city.</w:t>
      </w:r>
    </w:p>
    <w:p>
      <w:pPr>
        <w:pStyle w:val="BodyText"/>
      </w:pPr>
      <w:r>
        <w:rPr>
          <w:bCs/>
          <w:b/>
        </w:rPr>
        <w:t xml:space="preserve">Prepared By:</w:t>
      </w:r>
      <w:r>
        <w:t xml:space="preserve"> </w:t>
      </w:r>
      <w:r>
        <w:t xml:space="preserve">[Your Name], Head of Sales Strategy</w:t>
      </w:r>
      <w:r>
        <w:br/>
      </w:r>
      <w:r>
        <w:rPr>
          <w:bCs/>
          <w:b/>
        </w:rPr>
        <w:t xml:space="preserve">Date:</w:t>
      </w:r>
      <w:r>
        <w:t xml:space="preserve"> </w:t>
      </w:r>
      <w:r>
        <w:t xml:space="preserve">October 26, 2023</w:t>
      </w:r>
      <w:r>
        <w:br/>
      </w:r>
      <w:r>
        <w:rPr>
          <w:bCs/>
          <w:b/>
        </w:rPr>
        <w:t xml:space="preserve">For Distribution:</w:t>
      </w:r>
      <w:r>
        <w:t xml:space="preserve"> </w:t>
      </w:r>
      <w:r>
        <w:t xml:space="preserve">Executive Leadership, Melbourne Branch Management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 Melbourne Sales Report | Banking Performance Analysis</dc:title>
  <dc:creator/>
  <dc:language>en</dc:language>
  <cp:keywords/>
  <dcterms:created xsi:type="dcterms:W3CDTF">2026-07-23T14:08:31Z</dcterms:created>
  <dcterms:modified xsi:type="dcterms:W3CDTF">2026-07-23T14:08:31Z</dcterms:modified>
</cp:coreProperties>
</file>

<file path=docProps/custom.xml><?xml version="1.0" encoding="utf-8"?>
<Properties xmlns="http://schemas.openxmlformats.org/officeDocument/2006/custom-properties" xmlns:vt="http://schemas.openxmlformats.org/officeDocument/2006/docPropsVTypes"/>
</file>