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Sydney</w:t>
      </w:r>
      <w:r>
        <w:t xml:space="preserve"> </w:t>
      </w:r>
      <w:r>
        <w:t xml:space="preserve">Sales</w:t>
      </w:r>
      <w:r>
        <w:t xml:space="preserve"> </w:t>
      </w:r>
      <w:r>
        <w:t xml:space="preserve">Performance</w:t>
      </w:r>
      <w:r>
        <w:t xml:space="preserve"> </w:t>
      </w:r>
      <w:r>
        <w:t xml:space="preserve">Report:</w:t>
      </w:r>
      <w:r>
        <w:t xml:space="preserve"> </w:t>
      </w:r>
      <w:r>
        <w:t xml:space="preserve">Banker</w:t>
      </w:r>
      <w:r>
        <w:t xml:space="preserve"> </w:t>
      </w:r>
      <w:r>
        <w:t xml:space="preserve">Focus</w:t>
      </w:r>
      <w:r>
        <w:t xml:space="preserve"> </w:t>
      </w:r>
      <w:r>
        <w:t xml:space="preserve">-</w:t>
      </w:r>
      <w:r>
        <w:t xml:space="preserve"> </w:t>
      </w:r>
      <w:r>
        <w:t xml:space="preserve">Q3</w:t>
      </w:r>
      <w:r>
        <w:t xml:space="preserve"> </w:t>
      </w:r>
      <w:r>
        <w:t xml:space="preserve">2024</w:t>
      </w:r>
    </w:p>
    <w:bookmarkStart w:id="27" w:name="Xec49b0291b27f2aeed21f98cb16278d85c8a3e6"/>
    <w:p>
      <w:pPr>
        <w:pStyle w:val="Heading1"/>
      </w:pPr>
      <w:r>
        <w:t xml:space="preserve">Q3 2024 Sydney Sales Performance Report: Strategic Insights for Bankers in Australia's Premier Financial Hub</w:t>
      </w:r>
    </w:p>
    <w:bookmarkStart w:id="20" w:name="executive-summary"/>
    <w:p>
      <w:pPr>
        <w:pStyle w:val="Heading2"/>
      </w:pPr>
      <w:r>
        <w:t xml:space="preserve">Executive Summary</w:t>
      </w:r>
    </w:p>
    <w:p>
      <w:pPr>
        <w:pStyle w:val="FirstParagraph"/>
      </w:pPr>
      <w:r>
        <w:t xml:space="preserve">This comprehensive Sales Report details the performance of the Banking team operating within Australia Sydney during Q3 2024. As a pivotal financial hub for Australia, Sydney presents unique opportunities and challenges that demand a highly skilled Banker to navigate its dynamic market. This report confirms significant growth in key segments, particularly residential mortgages and commercial lending, driven by strategic client engagement and deep market understanding specific to the Sydney context. The Banker team demonstrated exceptional adaptability amidst evolving economic conditions, achieving a 12.7% year-over-year increase in new client acquisition within Australia Sydney's competitive landscape.</w:t>
      </w:r>
    </w:p>
    <w:bookmarkEnd w:id="20"/>
    <w:bookmarkStart w:id="21" w:name="Xdd34faeb386f5b6118ab320eec11f45abcbd9b9"/>
    <w:p>
      <w:pPr>
        <w:pStyle w:val="Heading2"/>
      </w:pPr>
      <w:r>
        <w:t xml:space="preserve">Key Sales Metrics: Australia Sydney Performance</w:t>
      </w:r>
    </w:p>
    <w:p>
      <w:pPr>
        <w:pStyle w:val="FirstParagraph"/>
      </w:pPr>
      <w:r>
        <w:t xml:space="preserve">The Q3 sales figures for the Sydney branch reflect robust performance against both internal targets and market benchmarks:</w:t>
      </w:r>
    </w:p>
    <w:p>
      <w:pPr>
        <w:numPr>
          <w:ilvl w:val="0"/>
          <w:numId w:val="1001"/>
        </w:numPr>
        <w:pStyle w:val="Compact"/>
      </w:pPr>
      <w:r>
        <w:rPr>
          <w:bCs/>
          <w:b/>
        </w:rPr>
        <w:t xml:space="preserve">Residential Mortgage Originations:</w:t>
      </w:r>
      <w:r>
        <w:t xml:space="preserve"> </w:t>
      </w:r>
      <w:r>
        <w:t xml:space="preserve">$1.85 billion (18.4% YoY increase). This growth is particularly significant in Sydney's inner-city and coastal suburbs, where demand for high-end residential properties remains strong despite interest rate pressures.</w:t>
      </w:r>
    </w:p>
    <w:p>
      <w:pPr>
        <w:numPr>
          <w:ilvl w:val="0"/>
          <w:numId w:val="1001"/>
        </w:numPr>
        <w:pStyle w:val="Compact"/>
      </w:pPr>
      <w:r>
        <w:rPr>
          <w:bCs/>
          <w:b/>
        </w:rPr>
        <w:t xml:space="preserve">New Commercial Client Acquisition:</w:t>
      </w:r>
      <w:r>
        <w:t xml:space="preserve"> </w:t>
      </w:r>
      <w:r>
        <w:t xml:space="preserve">72 new SMEs onboarded, a 25% surge from Q2. Key sectors include sustainable construction (35%), tech startups (28%), and hospitality recovery (19%) – all highly relevant to Sydney's economic diversification strategy.</w:t>
      </w:r>
    </w:p>
    <w:p>
      <w:pPr>
        <w:numPr>
          <w:ilvl w:val="0"/>
          <w:numId w:val="1001"/>
        </w:numPr>
        <w:pStyle w:val="Compact"/>
      </w:pPr>
      <w:r>
        <w:rPr>
          <w:bCs/>
          <w:b/>
        </w:rPr>
        <w:t xml:space="preserve">Wealth Management Assets Under Management (AUM):</w:t>
      </w:r>
      <w:r>
        <w:t xml:space="preserve"> </w:t>
      </w:r>
      <w:r>
        <w:t xml:space="preserve">$4.2 billion (+14.6% YoY). Growth was fueled by bespoke financial planning services for high-net-worth individuals in Sydney's affluent suburbs (e.g., Double Bay, Vaucluse).</w:t>
      </w:r>
    </w:p>
    <w:p>
      <w:pPr>
        <w:numPr>
          <w:ilvl w:val="0"/>
          <w:numId w:val="1001"/>
        </w:numPr>
        <w:pStyle w:val="Compact"/>
      </w:pPr>
      <w:r>
        <w:rPr>
          <w:bCs/>
          <w:b/>
        </w:rPr>
        <w:t xml:space="preserve">Cross-Sell Ratio:</w:t>
      </w:r>
      <w:r>
        <w:t xml:space="preserve"> </w:t>
      </w:r>
      <w:r>
        <w:t xml:space="preserve">3.2 products per active client (up from 2.8 last quarter). This demonstrates the Banker's effectiveness in understanding holistic client needs within the Australia Sydney market.</w:t>
      </w:r>
    </w:p>
    <w:bookmarkEnd w:id="21"/>
    <w:bookmarkStart w:id="22" w:name="market-analysis-sydney-specific-dynamics"/>
    <w:p>
      <w:pPr>
        <w:pStyle w:val="Heading2"/>
      </w:pPr>
      <w:r>
        <w:t xml:space="preserve">Market Analysis: Sydney-Specific Dynamics</w:t>
      </w:r>
    </w:p>
    <w:p>
      <w:pPr>
        <w:pStyle w:val="FirstParagraph"/>
      </w:pPr>
      <w:r>
        <w:t xml:space="preserve">Understanding the unique ecosystem of Australia Sydney is paramount for every Banker. Q3 revealed critical trends shaping our sales strategy:</w:t>
      </w:r>
    </w:p>
    <w:p>
      <w:pPr>
        <w:numPr>
          <w:ilvl w:val="0"/>
          <w:numId w:val="1002"/>
        </w:numPr>
        <w:pStyle w:val="Compact"/>
      </w:pPr>
      <w:r>
        <w:rPr>
          <w:bCs/>
          <w:b/>
        </w:rPr>
        <w:t xml:space="preserve">Property Market Resilience:</w:t>
      </w:r>
      <w:r>
        <w:t xml:space="preserve"> </w:t>
      </w:r>
      <w:r>
        <w:t xml:space="preserve">Despite national interest rate hikes, Sydney's property market showed remarkable resilience. The median house price in inner-city suburbs remained stable, while the northern beaches saw a 6% quarterly rise. Bankers leveraged this by emphasizing flexible mortgage solutions and first-home buyer programs tailored to Sydney's specific cost-of-living pressures.</w:t>
      </w:r>
    </w:p>
    <w:p>
      <w:pPr>
        <w:numPr>
          <w:ilvl w:val="0"/>
          <w:numId w:val="1002"/>
        </w:numPr>
        <w:pStyle w:val="Compact"/>
      </w:pPr>
      <w:r>
        <w:rPr>
          <w:bCs/>
          <w:b/>
        </w:rPr>
        <w:t xml:space="preserve">Post-Pandemic Business Rebound:</w:t>
      </w:r>
      <w:r>
        <w:t xml:space="preserve"> </w:t>
      </w:r>
      <w:r>
        <w:t xml:space="preserve">Sydney's CBD is experiencing a strong resurgence. The Banker team actively engaged with businesses relocating or expanding in the CBD (e.g., new fintech hubs in Barangaroo), offering tailored cash flow management and expansion financing that aligns with Sydney's evolving commercial landscape.</w:t>
      </w:r>
    </w:p>
    <w:p>
      <w:pPr>
        <w:numPr>
          <w:ilvl w:val="0"/>
          <w:numId w:val="1002"/>
        </w:numPr>
        <w:pStyle w:val="Compact"/>
      </w:pPr>
      <w:r>
        <w:rPr>
          <w:bCs/>
          <w:b/>
        </w:rPr>
        <w:t xml:space="preserve">Sustainability as a Growth Driver:</w:t>
      </w:r>
      <w:r>
        <w:t xml:space="preserve"> </w:t>
      </w:r>
      <w:r>
        <w:t xml:space="preserve">Sydney's commitment to becoming a carbon-neutral city by 2050 directly impacts sales. Bankers successfully positioned green loans for energy-efficient building retrofits (particularly in the CBD and South Sydney) and sustainability-linked SME financing, tapping into both regulatory incentives and client demand.</w:t>
      </w:r>
    </w:p>
    <w:p>
      <w:pPr>
        <w:numPr>
          <w:ilvl w:val="0"/>
          <w:numId w:val="1002"/>
        </w:numPr>
        <w:pStyle w:val="Compact"/>
      </w:pPr>
      <w:r>
        <w:rPr>
          <w:bCs/>
          <w:b/>
        </w:rPr>
        <w:t xml:space="preserve">Client Expectations Evolution:</w:t>
      </w:r>
      <w:r>
        <w:t xml:space="preserve"> </w:t>
      </w:r>
      <w:r>
        <w:t xml:space="preserve">Australia Sydney clients increasingly demand digital-first experiences combined with personalized advice. The Banker team's adoption of secure digital platforms for initial consultations (while maintaining high-touch follow-up) significantly improved conversion rates within the Sydney market segment.</w:t>
      </w:r>
    </w:p>
    <w:bookmarkEnd w:id="22"/>
    <w:bookmarkStart w:id="23" w:name="Xaf4aaae56d58e1a94be015fadf6f6f5c4a421ad"/>
    <w:p>
      <w:pPr>
        <w:pStyle w:val="Heading2"/>
      </w:pPr>
      <w:r>
        <w:t xml:space="preserve">Banker Performance: Strategic Execution in Sydney</w:t>
      </w:r>
    </w:p>
    <w:p>
      <w:pPr>
        <w:pStyle w:val="FirstParagraph"/>
      </w:pPr>
      <w:r>
        <w:t xml:space="preserve">The success metrics directly reflect the critical role of the Banker. Key performance indicators for individual bankers highlighted:</w:t>
      </w:r>
    </w:p>
    <w:p>
      <w:pPr>
        <w:numPr>
          <w:ilvl w:val="0"/>
          <w:numId w:val="1003"/>
        </w:numPr>
        <w:pStyle w:val="Compact"/>
      </w:pPr>
      <w:r>
        <w:rPr>
          <w:bCs/>
          <w:b/>
        </w:rPr>
        <w:t xml:space="preserve">Client Retention Rate:</w:t>
      </w:r>
      <w:r>
        <w:t xml:space="preserve"> </w:t>
      </w:r>
      <w:r>
        <w:t xml:space="preserve">94.3% (exceeding target by 8%). This underscores the Banker's ability to build trust through deep local market knowledge and proactive relationship management specific to Sydney's competitive banking environment.</w:t>
      </w:r>
    </w:p>
    <w:p>
      <w:pPr>
        <w:numPr>
          <w:ilvl w:val="0"/>
          <w:numId w:val="1003"/>
        </w:numPr>
        <w:pStyle w:val="Compact"/>
      </w:pPr>
      <w:r>
        <w:rPr>
          <w:bCs/>
          <w:b/>
        </w:rPr>
        <w:t xml:space="preserve">Sales Conversion Rate from Lead:</w:t>
      </w:r>
      <w:r>
        <w:t xml:space="preserve"> </w:t>
      </w:r>
      <w:r>
        <w:t xml:space="preserve">38% (up from 32% Q2). Bankers achieved this by leveraging hyper-localized insights – for example, understanding the specific financing needs of a cafe owner in Paddington versus a developer in Pyrmont.</w:t>
      </w:r>
    </w:p>
    <w:p>
      <w:pPr>
        <w:numPr>
          <w:ilvl w:val="0"/>
          <w:numId w:val="1003"/>
        </w:numPr>
        <w:pStyle w:val="Compact"/>
      </w:pPr>
      <w:r>
        <w:rPr>
          <w:bCs/>
          <w:b/>
        </w:rPr>
        <w:t xml:space="preserve">Compliance Adherence:</w:t>
      </w:r>
      <w:r>
        <w:t xml:space="preserve"> </w:t>
      </w:r>
      <w:r>
        <w:t xml:space="preserve">100% adherence to ASIC and APRA regulations across all transactions. In Australia Sydney's highly regulated market, this is non-negotiable for the Banker and forms the bedrock of client trust.</w:t>
      </w:r>
    </w:p>
    <w:bookmarkEnd w:id="23"/>
    <w:bookmarkStart w:id="24" w:name="Xf24e11485c0bd39941562a39d8009fda4e4fc81"/>
    <w:p>
      <w:pPr>
        <w:pStyle w:val="Heading2"/>
      </w:pPr>
      <w:r>
        <w:t xml:space="preserve">Challenges Faced &amp; Strategic Responses in Australia Sydney</w:t>
      </w:r>
    </w:p>
    <w:p>
      <w:pPr>
        <w:pStyle w:val="FirstParagraph"/>
      </w:pPr>
      <w:r>
        <w:t xml:space="preserve">Q3 was not without hurdles. The primary challenge was navigating Sydney's high cost-of-living pressure, which impacted consumer spending and SME cash flow. The Banker team responded proactively:</w:t>
      </w:r>
    </w:p>
    <w:p>
      <w:pPr>
        <w:numPr>
          <w:ilvl w:val="0"/>
          <w:numId w:val="1004"/>
        </w:numPr>
        <w:pStyle w:val="Compact"/>
      </w:pPr>
      <w:r>
        <w:rPr>
          <w:bCs/>
          <w:b/>
        </w:rPr>
        <w:t xml:space="preserve">Developed 'Sydney Living' Financial Plans:</w:t>
      </w:r>
      <w:r>
        <w:t xml:space="preserve"> </w:t>
      </w:r>
      <w:r>
        <w:t xml:space="preserve">Dedicated Bankers created customized budgeting and debt management tools specifically addressing Sydney's unique affordability challenges (e.g., high transport costs, housing expenses), leading to a 22% increase in client engagement on these solutions.</w:t>
      </w:r>
    </w:p>
    <w:p>
      <w:pPr>
        <w:numPr>
          <w:ilvl w:val="0"/>
          <w:numId w:val="1004"/>
        </w:numPr>
        <w:pStyle w:val="Compact"/>
      </w:pPr>
      <w:r>
        <w:rPr>
          <w:bCs/>
          <w:b/>
        </w:rPr>
        <w:t xml:space="preserve">Enhanced SME Support Networks:</w:t>
      </w:r>
      <w:r>
        <w:t xml:space="preserve"> </w:t>
      </w:r>
      <w:r>
        <w:t xml:space="preserve">Partnered with key Sydney business hubs (e.g., Innovation Australia, City of Sydney) to host workshops on navigating economic pressures, positioning the Banker as an essential business partner rather than just a lender.</w:t>
      </w:r>
    </w:p>
    <w:p>
      <w:pPr>
        <w:numPr>
          <w:ilvl w:val="0"/>
          <w:numId w:val="1004"/>
        </w:numPr>
        <w:pStyle w:val="Compact"/>
      </w:pPr>
      <w:r>
        <w:rPr>
          <w:bCs/>
          <w:b/>
        </w:rPr>
        <w:t xml:space="preserve">Interest Rate Strategy Communication:</w:t>
      </w:r>
      <w:r>
        <w:t xml:space="preserve"> </w:t>
      </w:r>
      <w:r>
        <w:t xml:space="preserve">Proactively educated clients on fixed vs. variable rates within the context of Sydney's forecasted rate movement (based on RBA signals), reducing client anxiety and improving retention during market volatility.</w:t>
      </w:r>
    </w:p>
    <w:bookmarkEnd w:id="24"/>
    <w:bookmarkStart w:id="25" w:name="X3de86f06f2b9b960e4534d243f12f570528a3d8"/>
    <w:p>
      <w:pPr>
        <w:pStyle w:val="Heading2"/>
      </w:pPr>
      <w:r>
        <w:t xml:space="preserve">Strategic Outlook &amp; Recommendations for Sydney Bankers</w:t>
      </w:r>
    </w:p>
    <w:p>
      <w:pPr>
        <w:pStyle w:val="FirstParagraph"/>
      </w:pPr>
      <w:r>
        <w:t xml:space="preserve">The Q3 Sales Report confirms Australia Sydney remains a high-potential, high-value market. To sustain this momentum, the following recommendations are critical for the Banker role:</w:t>
      </w:r>
    </w:p>
    <w:p>
      <w:pPr>
        <w:numPr>
          <w:ilvl w:val="0"/>
          <w:numId w:val="1005"/>
        </w:numPr>
        <w:pStyle w:val="Compact"/>
      </w:pPr>
      <w:r>
        <w:rPr>
          <w:bCs/>
          <w:b/>
        </w:rPr>
        <w:t xml:space="preserve">Deepen Hyper-Local Expertise:</w:t>
      </w:r>
      <w:r>
        <w:t xml:space="preserve"> </w:t>
      </w:r>
      <w:r>
        <w:t xml:space="preserve">Invest further in understanding suburb-specific economic drivers (e.g., tourism impact on Bondi vs. tech growth in Camperdown) to tailor solutions precisely.</w:t>
      </w:r>
    </w:p>
    <w:p>
      <w:pPr>
        <w:numPr>
          <w:ilvl w:val="0"/>
          <w:numId w:val="1005"/>
        </w:numPr>
        <w:pStyle w:val="Compact"/>
      </w:pPr>
      <w:r>
        <w:rPr>
          <w:bCs/>
          <w:b/>
        </w:rPr>
        <w:t xml:space="preserve">Prioritize Digital Integration:</w:t>
      </w:r>
      <w:r>
        <w:t xml:space="preserve"> </w:t>
      </w:r>
      <w:r>
        <w:t xml:space="preserve">Enhance the digital platform for Sydney clients to include real-time property market data and cost-of-living calculators relevant to their specific Sydney suburb.</w:t>
      </w:r>
    </w:p>
    <w:bookmarkEnd w:id="25"/>
    <w:bookmarkStart w:id="26" w:name="conclusion"/>
    <w:p>
      <w:pPr>
        <w:pStyle w:val="Heading2"/>
      </w:pPr>
      <w:r>
        <w:t xml:space="preserve">Conclusion</w:t>
      </w:r>
    </w:p>
    <w:p>
      <w:pPr>
        <w:pStyle w:val="FirstParagraph"/>
      </w:pPr>
      <w:r>
        <w:t xml:space="preserve">This Q3 Sales Report unequivocally demonstrates the vital role of the Banker within Australia Sydney's financial ecosystem. Success in this market hinges not just on product knowledge, but on a deep, nuanced understanding of Sydney's economic heartbeat, client pain points specific to our city, and regulatory environment. The remarkable growth in key metrics – residential mortgages, commercial acquisitions, and AUM – is a testament to the Banker's strategic execution and client-centric approach. As Australia Sydney continues to evolve as a global financial leader, the Banker must remain the cornerstone of relationship-driven sales success. Continued focus on hyper-local insights, proactive compliance, and sustainable finance solutions will cement our position at the forefront of banking in Sydney. The data is clear: A skilled Banker focused on Australia Sydney delivers exceptional results.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Sydney Sales Performance Report: Banker Focus - Q3 2024</dc:title>
  <dc:creator/>
  <dc:language>en</dc:language>
  <cp:keywords/>
  <dcterms:created xsi:type="dcterms:W3CDTF">2026-09-27T19:38:23Z</dcterms:created>
  <dcterms:modified xsi:type="dcterms:W3CDTF">2026-09-27T19:38:23Z</dcterms:modified>
</cp:coreProperties>
</file>

<file path=docProps/custom.xml><?xml version="1.0" encoding="utf-8"?>
<Properties xmlns="http://schemas.openxmlformats.org/officeDocument/2006/custom-properties" xmlns:vt="http://schemas.openxmlformats.org/officeDocument/2006/docPropsVTypes"/>
</file>