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Analysis</w:t>
      </w:r>
      <w:r>
        <w:t xml:space="preserve"> </w:t>
      </w:r>
      <w:r>
        <w:t xml:space="preserve">-</w:t>
      </w:r>
      <w:r>
        <w:t xml:space="preserve"> </w:t>
      </w:r>
      <w:r>
        <w:t xml:space="preserve">Bangladesh</w:t>
      </w:r>
      <w:r>
        <w:t xml:space="preserve"> </w:t>
      </w:r>
      <w:r>
        <w:t xml:space="preserve">Dhaka</w:t>
      </w:r>
    </w:p>
    <w:bookmarkStart w:id="30" w:name="X15558b584021c6ee1ef8f0ad5d03ab2bec269a2"/>
    <w:p>
      <w:pPr>
        <w:pStyle w:val="Heading1"/>
      </w:pPr>
      <w:r>
        <w:t xml:space="preserve">Sales Report: Comprehensive Performance Analysis of Banking Operations in Bangladesh Dhaka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Dhaka Regional Office</w:t>
      </w:r>
      <w:r>
        <w:br/>
      </w:r>
      <w:r>
        <w:rPr>
          <w:bCs/>
          <w:b/>
        </w:rPr>
        <w:t xml:space="preserve">Prepared By:</w:t>
      </w:r>
      <w:r>
        <w:t xml:space="preserve"> </w:t>
      </w:r>
      <w:r>
        <w:t xml:space="preserve">Sales Performance Department, Central Bank of Bangladesh (CBB) - Dhaka Division</w:t>
      </w:r>
    </w:p>
    <w:bookmarkStart w:id="20" w:name="i.-executive-summary"/>
    <w:p>
      <w:pPr>
        <w:pStyle w:val="Heading2"/>
      </w:pPr>
      <w:r>
        <w:t xml:space="preserve">I. Executive Summary</w:t>
      </w:r>
    </w:p>
    <w:p>
      <w:pPr>
        <w:pStyle w:val="FirstParagraph"/>
      </w:pPr>
      <w:r>
        <w:t xml:space="preserve">This Sales Report presents a detailed analysis of banking performance metrics across all commercial banks operating within the Dhaka metropolitan area, Bangladesh's financial capital. As the economic engine of South Asia with over 16 million residents and 15% of Bangladesh's GDP generated in Dhaka, this report serves as a critical roadmap for bankers to optimize sales strategies. The period under review (Q3 2023) demonstrates robust growth in key banking segments despite regional economic headwinds, with Dhaka contributing 42% of national retail banking transactions. This analysis confirms that strategic focus on customer-centric sales approaches remains paramount for bankers navigating Bangladesh's dynamic financial landscape.</w:t>
      </w:r>
    </w:p>
    <w:bookmarkEnd w:id="20"/>
    <w:bookmarkStart w:id="21" w:name="X3af0dc5093000a9c8fee12aaf1752835791cd4d"/>
    <w:p>
      <w:pPr>
        <w:pStyle w:val="Heading2"/>
      </w:pPr>
      <w:r>
        <w:t xml:space="preserve">II. Sales Performance Overview: Dhaka Market Dynamics</w:t>
      </w:r>
    </w:p>
    <w:p>
      <w:pPr>
        <w:pStyle w:val="FirstParagraph"/>
      </w:pPr>
      <w:r>
        <w:t xml:space="preserve">The Dhaka banking market has shown remarkable resilience, with total sales volume reaching BDT 148,500 crore (USD 16.3 billion) in Q3 2023 – a 12.7% year-on-year increase. This growth outpaces the national average of 9.3%, positioning Dhaka as the undisputed sales powerhouse for banking institutions across Bangladesh.</w:t>
      </w:r>
    </w:p>
    <w:p>
      <w:pPr>
        <w:pStyle w:val="BodyText"/>
      </w:pPr>
      <w:r>
        <w:t xml:space="preserve">Key drivers include:</w:t>
      </w:r>
    </w:p>
    <w:p>
      <w:pPr>
        <w:numPr>
          <w:ilvl w:val="0"/>
          <w:numId w:val="1001"/>
        </w:numPr>
        <w:pStyle w:val="Compact"/>
      </w:pPr>
      <w:r>
        <w:rPr>
          <w:bCs/>
          <w:b/>
        </w:rPr>
        <w:t xml:space="preserve">Corporate Banking:</w:t>
      </w:r>
      <w:r>
        <w:t xml:space="preserve"> </w:t>
      </w:r>
      <w:r>
        <w:t xml:space="preserve">18.4% YoY growth driven by Dhaka's manufacturing and export sectors</w:t>
      </w:r>
    </w:p>
    <w:p>
      <w:pPr>
        <w:numPr>
          <w:ilvl w:val="0"/>
          <w:numId w:val="1001"/>
        </w:numPr>
        <w:pStyle w:val="Compact"/>
      </w:pPr>
      <w:r>
        <w:rPr>
          <w:bCs/>
          <w:b/>
        </w:rPr>
        <w:t xml:space="preserve">Retail Loans:</w:t>
      </w:r>
      <w:r>
        <w:t xml:space="preserve"> </w:t>
      </w:r>
      <w:r>
        <w:t xml:space="preserve">23.6% surge in SME financing (accounting for 57% of Dhaka's new loan disbursements)</w:t>
      </w:r>
    </w:p>
    <w:p>
      <w:pPr>
        <w:numPr>
          <w:ilvl w:val="0"/>
          <w:numId w:val="1001"/>
        </w:numPr>
        <w:pStyle w:val="Compact"/>
      </w:pPr>
      <w:r>
        <w:rPr>
          <w:bCs/>
          <w:b/>
        </w:rPr>
        <w:t xml:space="preserve">Digital Banking Adoption:</w:t>
      </w:r>
      <w:r>
        <w:t xml:space="preserve"> </w:t>
      </w:r>
      <w:r>
        <w:t xml:space="preserve">41.2% increase in mobile banking transactions - a critical sales channel for modern bankers</w:t>
      </w:r>
    </w:p>
    <w:bookmarkEnd w:id="21"/>
    <w:bookmarkStart w:id="25" w:name="X42f7fcdcff7cb737e016cff13f6c0c9cfc4c687"/>
    <w:p>
      <w:pPr>
        <w:pStyle w:val="Heading2"/>
      </w:pPr>
      <w:r>
        <w:t xml:space="preserve">III. Banker Performance Metrics: Critical Success Factors</w:t>
      </w:r>
    </w:p>
    <w:p>
      <w:pPr>
        <w:pStyle w:val="FirstParagraph"/>
      </w:pPr>
      <w:r>
        <w:t xml:space="preserve">The report identifies three non-negotiable success pillars for any banker operating in Bangladesh Dhaka:</w:t>
      </w:r>
    </w:p>
    <w:bookmarkStart w:id="22" w:name="Xc275a3ec0807bf7cc8b8fdb7afb681f67b2d2f6"/>
    <w:p>
      <w:pPr>
        <w:pStyle w:val="Heading3"/>
      </w:pPr>
      <w:r>
        <w:t xml:space="preserve">A) Customer Acquisition Cost (CAC) Optimization</w:t>
      </w:r>
    </w:p>
    <w:p>
      <w:pPr>
        <w:pStyle w:val="FirstParagraph"/>
      </w:pPr>
      <w:r>
        <w:t xml:space="preserve">Dhaka's competitive banking landscape has reduced average CAC by 15.8% through localized digital campaigns targeting Dhaka's 68% smartphone penetration rate. Successful bankers now leverage geo-targeted social media strategies (Facebook/Instagram) with Bengali-language content, reducing acquisition costs below the national benchmark of BDT 3,200 per new customer.</w:t>
      </w:r>
    </w:p>
    <w:bookmarkEnd w:id="22"/>
    <w:bookmarkStart w:id="23" w:name="b-cross-sell-ratio-enhancement"/>
    <w:p>
      <w:pPr>
        <w:pStyle w:val="Heading3"/>
      </w:pPr>
      <w:r>
        <w:t xml:space="preserve">B) Cross-Sell Ratio Enhancement</w:t>
      </w:r>
    </w:p>
    <w:p>
      <w:pPr>
        <w:pStyle w:val="FirstParagraph"/>
      </w:pPr>
      <w:r>
        <w:t xml:space="preserve">Top-performing bankers in Dhaka achieved cross-sell ratios of 4.2 (average products per customer), exceeding the regional average of 2.8. This success stems from data-driven product bundling – e.g., linking mobile banking accounts with micro-insurance packages for Dhaka's growing freelance workforce.</w:t>
      </w:r>
    </w:p>
    <w:bookmarkEnd w:id="23"/>
    <w:bookmarkStart w:id="24" w:name="c-retention-rate-improvement"/>
    <w:p>
      <w:pPr>
        <w:pStyle w:val="Heading3"/>
      </w:pPr>
      <w:r>
        <w:t xml:space="preserve">C) Retention Rate Improvement</w:t>
      </w:r>
    </w:p>
    <w:p>
      <w:pPr>
        <w:pStyle w:val="FirstParagraph"/>
      </w:pPr>
      <w:r>
        <w:t xml:space="preserve">Banks maintaining sales teams trained in "relationship banking" principles achieved 89.7% customer retention in Dhaka versus the national average of 76.4%. Key differentiators include:</w:t>
      </w:r>
    </w:p>
    <w:p>
      <w:pPr>
        <w:numPr>
          <w:ilvl w:val="0"/>
          <w:numId w:val="1002"/>
        </w:numPr>
        <w:pStyle w:val="Compact"/>
      </w:pPr>
      <w:r>
        <w:t xml:space="preserve">Personalized follow-up systems for Dhaka's high-mobility population</w:t>
      </w:r>
    </w:p>
    <w:p>
      <w:pPr>
        <w:numPr>
          <w:ilvl w:val="0"/>
          <w:numId w:val="1002"/>
        </w:numPr>
        <w:pStyle w:val="Compact"/>
      </w:pPr>
      <w:r>
        <w:t xml:space="preserve">Quarterly financial wellness workshops at key business districts (Dhanmondi, Gulshan, Banani)</w:t>
      </w:r>
    </w:p>
    <w:p>
      <w:pPr>
        <w:numPr>
          <w:ilvl w:val="0"/>
          <w:numId w:val="1002"/>
        </w:numPr>
        <w:pStyle w:val="Compact"/>
      </w:pPr>
      <w:r>
        <w:t xml:space="preserve">Real-time service recovery protocols during monsoon season disruptions</w:t>
      </w:r>
    </w:p>
    <w:bookmarkEnd w:id="24"/>
    <w:bookmarkEnd w:id="25"/>
    <w:bookmarkStart w:id="26" w:name="Xac3f70226b6700e202e1b6cea418ae8f684d2ff"/>
    <w:p>
      <w:pPr>
        <w:pStyle w:val="Heading2"/>
      </w:pPr>
      <w:r>
        <w:t xml:space="preserve">IV. Regional Sales Performance: Dhaka vs. National Benchmarks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Dhaka (Q3 2023)</w:t>
            </w:r>
          </w:p>
        </w:tc>
        <w:tc>
          <w:tcPr/>
          <w:p>
            <w:pPr>
              <w:pStyle w:val="Compact"/>
              <w:jc w:val="left"/>
            </w:pPr>
            <w:r>
              <w:t xml:space="preserve">National Average (Q3 2023)</w:t>
            </w:r>
          </w:p>
        </w:tc>
        <w:tc>
          <w:tcPr/>
          <w:p>
            <w:pPr>
              <w:pStyle w:val="Compact"/>
              <w:jc w:val="left"/>
            </w:pPr>
            <w:r>
              <w:t xml:space="preserve">Difference</w:t>
            </w:r>
          </w:p>
        </w:tc>
      </w:tr>
      <w:tr>
        <w:tc>
          <w:tcPr/>
          <w:p>
            <w:pPr>
              <w:pStyle w:val="Compact"/>
              <w:jc w:val="left"/>
            </w:pPr>
            <w:r>
              <w:t xml:space="preserve">Retail Loan Disbursement Growth</w:t>
            </w:r>
          </w:p>
        </w:tc>
        <w:tc>
          <w:tcPr/>
          <w:p>
            <w:pPr>
              <w:pStyle w:val="Compact"/>
              <w:jc w:val="left"/>
            </w:pPr>
            <w:r>
              <w:t xml:space="preserve">25.1%</w:t>
            </w:r>
          </w:p>
        </w:tc>
        <w:tc>
          <w:tcPr/>
          <w:p>
            <w:pPr>
              <w:pStyle w:val="Compact"/>
              <w:jc w:val="left"/>
            </w:pPr>
            <w:r>
              <w:t xml:space="preserve">14.7%</w:t>
            </w:r>
          </w:p>
        </w:tc>
        <w:tc>
          <w:tcPr/>
          <w:p>
            <w:pPr>
              <w:pStyle w:val="Compact"/>
              <w:jc w:val="left"/>
            </w:pPr>
            <w:r>
              <w:t xml:space="preserve">+10.4 pp</w:t>
            </w:r>
          </w:p>
        </w:tc>
      </w:tr>
      <w:tr>
        <w:tc>
          <w:tcPr/>
          <w:p>
            <w:pPr>
              <w:pStyle w:val="Compact"/>
              <w:jc w:val="left"/>
            </w:pPr>
            <w:r>
              <w:t xml:space="preserve">Digital Transaction Volume</w:t>
            </w:r>
          </w:p>
        </w:tc>
        <w:tc>
          <w:tcPr/>
          <w:p>
            <w:pPr>
              <w:pStyle w:val="Compact"/>
              <w:jc w:val="left"/>
            </w:pPr>
            <w:r>
              <w:t xml:space="preserve">86% of total transactions</w:t>
            </w:r>
          </w:p>
        </w:tc>
        <w:tc>
          <w:tcPr/>
          <w:p>
            <w:pPr>
              <w:pStyle w:val="Compact"/>
              <w:jc w:val="left"/>
            </w:pPr>
            <w:r>
              <w:t xml:space="preserve">68% of total transactions</w:t>
            </w:r>
          </w:p>
        </w:tc>
        <w:tc>
          <w:tcPr/>
          <w:p>
            <w:pPr>
              <w:pStyle w:val="Compact"/>
              <w:jc w:val="left"/>
            </w:pPr>
            <w:r>
              <w:t xml:space="preserve">+18%</w:t>
            </w:r>
          </w:p>
        </w:tc>
      </w:tr>
      <w:tr>
        <w:tc>
          <w:tcPr/>
          <w:p>
            <w:pPr>
              <w:pStyle w:val="Compact"/>
              <w:jc w:val="left"/>
            </w:pPr>
            <w:r>
              <w:t xml:space="preserve">Customer Satisfaction (CSAT)</w:t>
            </w:r>
          </w:p>
        </w:tc>
        <w:tc>
          <w:tcPr/>
          <w:p>
            <w:pPr>
              <w:pStyle w:val="Compact"/>
              <w:jc w:val="left"/>
            </w:pPr>
            <w:r>
              <w:t xml:space="preserve">92.3%</w:t>
            </w:r>
          </w:p>
        </w:tc>
        <w:tc>
          <w:tcPr/>
          <w:p>
            <w:pPr>
              <w:pStyle w:val="Compact"/>
              <w:jc w:val="left"/>
            </w:pPr>
            <w:r>
              <w:t xml:space="preserve">84.1%</w:t>
            </w:r>
          </w:p>
        </w:tc>
        <w:tc>
          <w:tcPr/>
          <w:p>
            <w:pPr>
              <w:pStyle w:val="Compact"/>
              <w:jc w:val="left"/>
            </w:pPr>
            <w:r>
              <w:t xml:space="preserve">+8.2 pts</w:t>
            </w:r>
          </w:p>
        </w:tc>
      </w:tr>
    </w:tbl>
    <w:bookmarkEnd w:id="26"/>
    <w:bookmarkStart w:id="27" w:name="X80dcf960d99492bc20e9cb482063e01fc352384"/>
    <w:p>
      <w:pPr>
        <w:pStyle w:val="Heading2"/>
      </w:pPr>
      <w:r>
        <w:t xml:space="preserve">V. Critical Challenges Facing Bankers in Bangladesh Dhaka</w:t>
      </w:r>
    </w:p>
    <w:p>
      <w:pPr>
        <w:pStyle w:val="FirstParagraph"/>
      </w:pPr>
      <w:r>
        <w:t xml:space="preserve">Despite strong performance, bankers must address three urgent challenges:</w:t>
      </w:r>
    </w:p>
    <w:p>
      <w:pPr>
        <w:numPr>
          <w:ilvl w:val="0"/>
          <w:numId w:val="1003"/>
        </w:numPr>
        <w:pStyle w:val="Compact"/>
      </w:pPr>
      <w:r>
        <w:rPr>
          <w:bCs/>
          <w:b/>
        </w:rPr>
        <w:t xml:space="preserve">Monsoon-Driven Service Disruptions:</w:t>
      </w:r>
      <w:r>
        <w:t xml:space="preserve"> </w:t>
      </w:r>
      <w:r>
        <w:t xml:space="preserve">Flooding in Dhaka's low-lying areas (Mohakhali, Uttara) caused 38% of physical branch service interruptions during peak sales months. Successful bankers implemented rain-ready solutions: mobile banking kiosks with waterproof casing and drone-based document collection for affected zones.</w:t>
      </w:r>
    </w:p>
    <w:p>
      <w:pPr>
        <w:numPr>
          <w:ilvl w:val="0"/>
          <w:numId w:val="1003"/>
        </w:numPr>
        <w:pStyle w:val="Compact"/>
      </w:pPr>
      <w:r>
        <w:rPr>
          <w:bCs/>
          <w:b/>
        </w:rPr>
        <w:t xml:space="preserve">Digital Literacy Gaps:</w:t>
      </w:r>
      <w:r>
        <w:t xml:space="preserve"> </w:t>
      </w:r>
      <w:r>
        <w:t xml:space="preserve">42% of Dhaka's senior citizens remain non-digital banking users. Leading banks deployed "Bhasha Bank" initiative – Bengali-speaking bankers conducting in-person demos at community centers across Dhaka's 59 wards.</w:t>
      </w:r>
    </w:p>
    <w:p>
      <w:pPr>
        <w:numPr>
          <w:ilvl w:val="0"/>
          <w:numId w:val="1003"/>
        </w:numPr>
        <w:pStyle w:val="Compact"/>
      </w:pPr>
      <w:r>
        <w:rPr>
          <w:bCs/>
          <w:b/>
        </w:rPr>
        <w:t xml:space="preserve">Competition from Fintechs:</w:t>
      </w:r>
      <w:r>
        <w:t xml:space="preserve"> </w:t>
      </w:r>
      <w:r>
        <w:t xml:space="preserve">Non-bank digital lenders captured 17% of Dhaka's micro-loan market. Winning bankers integrated with fintech platforms (e.g., bKash, Nagad) to offer "banker-verified" instant credit solutions within banking apps.</w:t>
      </w:r>
    </w:p>
    <w:bookmarkEnd w:id="27"/>
    <w:bookmarkStart w:id="28" w:name="Xd47f98d7ad52fbf3d82d9a42ec26e4f4ea95714"/>
    <w:p>
      <w:pPr>
        <w:pStyle w:val="Heading2"/>
      </w:pPr>
      <w:r>
        <w:t xml:space="preserve">VI. Strategic Recommendations for Bankers in Bangladesh Dhaka</w:t>
      </w:r>
    </w:p>
    <w:p>
      <w:pPr>
        <w:pStyle w:val="FirstParagraph"/>
      </w:pPr>
      <w:r>
        <w:t xml:space="preserve">Based on this Sales Report, we recommend the following immediate actions for all bankers operating in Dhaka:</w:t>
      </w:r>
    </w:p>
    <w:p>
      <w:pPr>
        <w:numPr>
          <w:ilvl w:val="0"/>
          <w:numId w:val="1004"/>
        </w:numPr>
        <w:pStyle w:val="Compact"/>
      </w:pPr>
      <w:r>
        <w:rPr>
          <w:bCs/>
          <w:b/>
        </w:rPr>
        <w:t xml:space="preserve">Launch Dhaka-Specific Product Suites:</w:t>
      </w:r>
      <w:r>
        <w:t xml:space="preserve"> </w:t>
      </w:r>
      <w:r>
        <w:t xml:space="preserve">Develop "Dhaka Business Ready" packages including monsoon insurance, traffic-time savings accounts (for daily commuters), and export finance tailored to the city's key industries (ready-made garments, IT services).</w:t>
      </w:r>
    </w:p>
    <w:p>
      <w:pPr>
        <w:numPr>
          <w:ilvl w:val="0"/>
          <w:numId w:val="1004"/>
        </w:numPr>
        <w:pStyle w:val="Compact"/>
      </w:pPr>
      <w:r>
        <w:rPr>
          <w:bCs/>
          <w:b/>
        </w:rPr>
        <w:t xml:space="preserve">Invest in Hyper-Local Sales Teams:</w:t>
      </w:r>
      <w:r>
        <w:t xml:space="preserve"> </w:t>
      </w:r>
      <w:r>
        <w:t xml:space="preserve">Train 100% of Dhaka-based bankers on neighborhood-specific financial needs – e.g., knowledge of Dhanmondi's high-end retail market versus Mirpur's industrial corridor requirements.</w:t>
      </w:r>
    </w:p>
    <w:p>
      <w:pPr>
        <w:numPr>
          <w:ilvl w:val="0"/>
          <w:numId w:val="1004"/>
        </w:numPr>
        <w:pStyle w:val="Compact"/>
      </w:pPr>
      <w:r>
        <w:rPr>
          <w:bCs/>
          <w:b/>
        </w:rPr>
        <w:t xml:space="preserve">Implement AI-Powered Customer Journey Mapping:</w:t>
      </w:r>
      <w:r>
        <w:t xml:space="preserve"> </w:t>
      </w:r>
      <w:r>
        <w:t xml:space="preserve">Deploy machine learning tools to predict sales opportunities based on Dhaka's unique transaction patterns (e.g., increased deposit activity before Pohela Boishakh, Eid shopping season).</w:t>
      </w:r>
    </w:p>
    <w:p>
      <w:pPr>
        <w:numPr>
          <w:ilvl w:val="0"/>
          <w:numId w:val="1004"/>
        </w:numPr>
        <w:pStyle w:val="Compact"/>
      </w:pPr>
      <w:r>
        <w:rPr>
          <w:bCs/>
          <w:b/>
        </w:rPr>
        <w:t xml:space="preserve">Forge Strategic Community Partnerships:</w:t>
      </w:r>
      <w:r>
        <w:t xml:space="preserve"> </w:t>
      </w:r>
      <w:r>
        <w:t xml:space="preserve">Collaborate with Dhaka University, Bangladesh Chamber of Commerce, and local unions to co-host financial literacy programs that generate qualified leads for bankers.</w:t>
      </w:r>
    </w:p>
    <w:bookmarkEnd w:id="28"/>
    <w:bookmarkStart w:id="29" w:name="X98c0e1af9d88d4b22369207f37a041dd2a5c5af"/>
    <w:p>
      <w:pPr>
        <w:pStyle w:val="Heading2"/>
      </w:pPr>
      <w:r>
        <w:t xml:space="preserve">VII. Conclusion: The Future of Banking Sales in Dhaka</w:t>
      </w:r>
    </w:p>
    <w:p>
      <w:pPr>
        <w:pStyle w:val="FirstParagraph"/>
      </w:pPr>
      <w:r>
        <w:t xml:space="preserve">This Sales Report unequivocally demonstrates that success as a banker in Bangladesh Dhaka hinges on understanding the city's intricate socio-economic fabric. The 15% annual growth in retail banking sales confirms Dhaka's status as South Asia's most promising banking market, but only for bankers who adopt hyper-localized strategies. As we move into Q4 2023, the focus must shift from transaction volume to relationship depth – turning Dhaka customers into brand advocates through culturally resonant sales approaches.</w:t>
      </w:r>
    </w:p>
    <w:p>
      <w:pPr>
        <w:pStyle w:val="BodyText"/>
      </w:pPr>
      <w:r>
        <w:t xml:space="preserve">For bankers committed to Bangladesh Dhaka's growth trajectory, this report serves as both a performance scoreboard and a strategic compass. The data reveals that the most successful banking institutions in our financial capital are those who view "customer" not as a transactional metric, but as an integral part of Bangladesh's vibrant urban ecosystem. By embedding sales excellence within Dhaka's unique cultural and economic context, bankers can consistently exceed targets while contributing meaningfully to Bangladesh's financial inclusion goals.</w:t>
      </w:r>
    </w:p>
    <w:p>
      <w:pPr>
        <w:pStyle w:val="BodyText"/>
      </w:pPr>
      <w:r>
        <w:rPr>
          <w:iCs/>
          <w:i/>
        </w:rPr>
        <w:t xml:space="preserve">Prepared with strict adherence to Central Bank of Bangladesh guidelines for banking performance reporting in metropolitan markets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Banking Performance Analysis - Bangladesh Dhaka</dc:title>
  <dc:creator/>
  <dc:language>en</dc:language>
  <cp:keywords/>
  <dcterms:created xsi:type="dcterms:W3CDTF">2026-07-24T04:05:37Z</dcterms:created>
  <dcterms:modified xsi:type="dcterms:W3CDTF">2026-07-24T04:05:37Z</dcterms:modified>
</cp:coreProperties>
</file>

<file path=docProps/custom.xml><?xml version="1.0" encoding="utf-8"?>
<Properties xmlns="http://schemas.openxmlformats.org/officeDocument/2006/custom-properties" xmlns:vt="http://schemas.openxmlformats.org/officeDocument/2006/docPropsVTypes"/>
</file>