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737aea7cf237cfd120ef6bad9ad9865e3c6ffe0"/>
    <w:p>
      <w:pPr>
        <w:pStyle w:val="Heading1"/>
      </w:pPr>
      <w:r>
        <w:t xml:space="preserve">Quarterly Sales Report: Strategic Banking Performance Analysis for Belgium Brussels Market</w:t>
      </w:r>
    </w:p>
    <w:bookmarkStart w:id="20" w:name="executive-summary"/>
    <w:p>
      <w:pPr>
        <w:pStyle w:val="Heading2"/>
      </w:pPr>
      <w:r>
        <w:t xml:space="preserve">Executive Summary</w:t>
      </w:r>
    </w:p>
    <w:p>
      <w:pPr>
        <w:pStyle w:val="FirstParagraph"/>
      </w:pPr>
      <w:r>
        <w:t xml:space="preserve">This comprehensive Sales Report details the performance of our banking operations in the dynamic financial hub of Belgium Brussels during Q3 2023. As a dedicated Banker operating within this pivotal European market, our team has navigated complex economic landscapes while delivering exceptional client solutions. The report confirms a 12.7% year-over-year growth in managed assets, validating our strategic focus on personalized banking services across the Brussels metropolitan area. This Sales Report serves as both an achievement milestone and a roadmap for future excellence in Belgium Brussels' competitive financial sector.</w:t>
      </w:r>
    </w:p>
    <w:bookmarkEnd w:id="20"/>
    <w:bookmarkStart w:id="21" w:name="X09813f7ed15ebd294bdb518d2304238408293b2"/>
    <w:p>
      <w:pPr>
        <w:pStyle w:val="Heading2"/>
      </w:pPr>
      <w:r>
        <w:t xml:space="preserve">Market Context: Belgium Brussels Banking Landscape</w:t>
      </w:r>
    </w:p>
    <w:p>
      <w:pPr>
        <w:pStyle w:val="FirstParagraph"/>
      </w:pPr>
      <w:r>
        <w:t xml:space="preserve">Belgium Brussels represents a unique convergence of EU institutions, multinational corporations, and high-net-worth individuals demanding sophisticated financial solutions. As the central hub for European banking operations, this market requires Bankers to possess nuanced understanding of both Belgian fiscal regulations and international compliance standards. The Q3 economic climate featured stable GDP growth (0.8% quarterly) but increased regulatory scrutiny under the European Banking Authority's new transparency directives. Our Banker team has proactively adapted by implementing enhanced client onboarding protocols compliant with Belgium Brussels' specific financial regulations, directly contributing to our market-leading 24% client retention rate.</w:t>
      </w:r>
    </w:p>
    <w:bookmarkEnd w:id="21"/>
    <w:bookmarkStart w:id="22" w:name="sales-performance-highlights"/>
    <w:p>
      <w:pPr>
        <w:pStyle w:val="Heading2"/>
      </w:pPr>
      <w:r>
        <w:t xml:space="preserve">Sales Performance Highlights</w:t>
      </w:r>
    </w:p>
    <w:p>
      <w:pPr>
        <w:pStyle w:val="FirstParagraph"/>
      </w:pPr>
      <w:r>
        <w:t xml:space="preserve">Our Sales Report reveals significant achievements across all key metrics. Total new business acquisitions reached €87.3M in Q3, with a 19% increase in premium wealth management clients – a critical growth area for Bankers servicing Brussels' affluent demographic. Notable successes include:</w:t>
      </w:r>
    </w:p>
    <w:p>
      <w:pPr>
        <w:numPr>
          <w:ilvl w:val="0"/>
          <w:numId w:val="1001"/>
        </w:numPr>
        <w:pStyle w:val="Compact"/>
      </w:pPr>
      <w:r>
        <w:rPr>
          <w:bCs/>
          <w:b/>
        </w:rPr>
        <w:t xml:space="preserve">Corporate Solutions:</w:t>
      </w:r>
      <w:r>
        <w:t xml:space="preserve"> </w:t>
      </w:r>
      <w:r>
        <w:t xml:space="preserve">Secured three major institutional mandates including an €18M structured finance deal for a leading EU-based energy consortium, demonstrating our Banker's capability in complex transaction structuring.</w:t>
      </w:r>
    </w:p>
    <w:p>
      <w:pPr>
        <w:numPr>
          <w:ilvl w:val="0"/>
          <w:numId w:val="1001"/>
        </w:numPr>
        <w:pStyle w:val="Compact"/>
      </w:pPr>
      <w:r>
        <w:rPr>
          <w:bCs/>
          <w:b/>
        </w:rPr>
        <w:t xml:space="preserve">Private Banking:</w:t>
      </w:r>
      <w:r>
        <w:t xml:space="preserve"> </w:t>
      </w:r>
      <w:r>
        <w:t xml:space="preserve">Achieved 34% growth in HNW client acquisitions through tailored ESG investment products, responding directly to Brussels' strong sustainability focus.</w:t>
      </w:r>
    </w:p>
    <w:p>
      <w:pPr>
        <w:numPr>
          <w:ilvl w:val="0"/>
          <w:numId w:val="1001"/>
        </w:numPr>
        <w:pStyle w:val="Compact"/>
      </w:pPr>
      <w:r>
        <w:rPr>
          <w:bCs/>
          <w:b/>
        </w:rPr>
        <w:t xml:space="preserve">Digital Transformation:</w:t>
      </w:r>
      <w:r>
        <w:t xml:space="preserve"> </w:t>
      </w:r>
      <w:r>
        <w:t xml:space="preserve">67% of new clients engaged via our digital platform – a key differentiator in Belgium Brussels where fintech adoption is accelerating at 22% annually.</w:t>
      </w:r>
    </w:p>
    <w:bookmarkEnd w:id="22"/>
    <w:bookmarkStart w:id="23" w:name="X271867f94eadec1fdc38d30a4b68f66790d61c9"/>
    <w:p>
      <w:pPr>
        <w:pStyle w:val="Heading2"/>
      </w:pPr>
      <w:r>
        <w:t xml:space="preserve">Client Engagement Strategy in Belgium Brussels</w:t>
      </w:r>
    </w:p>
    <w:p>
      <w:pPr>
        <w:pStyle w:val="FirstParagraph"/>
      </w:pPr>
      <w:r>
        <w:t xml:space="preserve">The cornerstone of our Sales Report success lies in hyper-localized client engagement. In Belgium Brussels, we've moved beyond standard banking to implement the "Brussels Connection" framework, which includes:</w:t>
      </w:r>
    </w:p>
    <w:p>
      <w:pPr>
        <w:numPr>
          <w:ilvl w:val="0"/>
          <w:numId w:val="1002"/>
        </w:numPr>
        <w:pStyle w:val="Compact"/>
      </w:pPr>
      <w:r>
        <w:rPr>
          <w:bCs/>
          <w:b/>
        </w:rPr>
        <w:t xml:space="preserve">Quarterly EU Policy Briefings:</w:t>
      </w:r>
      <w:r>
        <w:t xml:space="preserve"> </w:t>
      </w:r>
      <w:r>
        <w:t xml:space="preserve">Our Banker team hosts exclusive sessions analyzing upcoming regulatory changes (e.g., MiFID II updates), providing clients with strategic advantages.</w:t>
      </w:r>
    </w:p>
    <w:p>
      <w:pPr>
        <w:numPr>
          <w:ilvl w:val="0"/>
          <w:numId w:val="1002"/>
        </w:numPr>
        <w:pStyle w:val="Compact"/>
      </w:pPr>
      <w:r>
        <w:rPr>
          <w:bCs/>
          <w:b/>
        </w:rPr>
        <w:t xml:space="preserve">Cultural Integration Programs:</w:t>
      </w:r>
      <w:r>
        <w:t xml:space="preserve"> </w:t>
      </w:r>
      <w:r>
        <w:t xml:space="preserve">Tailored relationship management for French- and Dutch-speaking clientele, recognizing Belgium's linguistic duality as a core aspect of Brussels banking.</w:t>
      </w:r>
    </w:p>
    <w:p>
      <w:pPr>
        <w:numPr>
          <w:ilvl w:val="0"/>
          <w:numId w:val="1002"/>
        </w:numPr>
        <w:pStyle w:val="Compact"/>
      </w:pPr>
      <w:r>
        <w:rPr>
          <w:bCs/>
          <w:b/>
        </w:rPr>
        <w:t xml:space="preserve">Networking Ecosystems:</w:t>
      </w:r>
      <w:r>
        <w:t xml:space="preserve"> </w:t>
      </w:r>
      <w:r>
        <w:t xml:space="preserve">Strategic partnerships with key Brussels institutions like the European Banking Federation and Bruxelles Formation to co-host client events.</w:t>
      </w:r>
    </w:p>
    <w:p>
      <w:pPr>
        <w:pStyle w:val="FirstParagraph"/>
      </w:pPr>
      <w:r>
        <w:t xml:space="preserve">This approach has generated 42% of new business through referrals in Belgium Brussels – significantly above the industry benchmark of 28%.</w:t>
      </w:r>
    </w:p>
    <w:bookmarkEnd w:id="23"/>
    <w:bookmarkStart w:id="24" w:name="product-performance-analysis"/>
    <w:p>
      <w:pPr>
        <w:pStyle w:val="Heading2"/>
      </w:pPr>
      <w:r>
        <w:t xml:space="preserve">Product Performance Analysis</w:t>
      </w:r>
    </w:p>
    <w:p>
      <w:pPr>
        <w:pStyle w:val="FirstParagraph"/>
      </w:pPr>
      <w:r>
        <w:t xml:space="preserve">Our Sales Report identifies three high-performing product lines specifically resonating with the Belgium Brussels market:</w:t>
      </w:r>
    </w:p>
    <w:p>
      <w:pPr>
        <w:numPr>
          <w:ilvl w:val="0"/>
          <w:numId w:val="1003"/>
        </w:numPr>
        <w:pStyle w:val="Compact"/>
      </w:pPr>
      <w:r>
        <w:rPr>
          <w:bCs/>
          <w:b/>
        </w:rPr>
        <w:t xml:space="preserve">ESG-Linked Loans:</w:t>
      </w:r>
      <w:r>
        <w:t xml:space="preserve"> </w:t>
      </w:r>
      <w:r>
        <w:t xml:space="preserve">153% growth YoY, driven by Brussels' stringent green transition policies. Our Banker team developed specialized financing for sustainable infrastructure projects meeting EU Taxonomy criteria.</w:t>
      </w:r>
    </w:p>
    <w:p>
      <w:pPr>
        <w:numPr>
          <w:ilvl w:val="0"/>
          <w:numId w:val="1003"/>
        </w:numPr>
        <w:pStyle w:val="Compact"/>
      </w:pPr>
      <w:r>
        <w:rPr>
          <w:bCs/>
          <w:b/>
        </w:rPr>
        <w:t xml:space="preserve">Digital Banking Suite:</w:t>
      </w:r>
      <w:r>
        <w:t xml:space="preserve"> </w:t>
      </w:r>
      <w:r>
        <w:t xml:space="preserve">78% client adoption rate among new acquisitions, particularly valued for real-time cross-border payment capabilities essential for Brussels-based multinationals.</w:t>
      </w:r>
    </w:p>
    <w:p>
      <w:pPr>
        <w:numPr>
          <w:ilvl w:val="0"/>
          <w:numId w:val="1003"/>
        </w:numPr>
        <w:pStyle w:val="Compact"/>
      </w:pPr>
      <w:r>
        <w:rPr>
          <w:bCs/>
          <w:b/>
        </w:rPr>
        <w:t xml:space="preserve">Treasury Management Solutions:</w:t>
      </w:r>
      <w:r>
        <w:t xml:space="preserve"> </w:t>
      </w:r>
      <w:r>
        <w:t xml:space="preserve">Secured €41M in new treasury mandates from Fortune 500 companies relocating to Brussels post-Brexit, demonstrating our Banker's strategic market positioning.</w:t>
      </w:r>
    </w:p>
    <w:bookmarkEnd w:id="24"/>
    <w:bookmarkStart w:id="25" w:name="challenges-and-strategic-response"/>
    <w:p>
      <w:pPr>
        <w:pStyle w:val="Heading2"/>
      </w:pPr>
      <w:r>
        <w:t xml:space="preserve">Challenges and Strategic Response</w:t>
      </w:r>
    </w:p>
    <w:p>
      <w:pPr>
        <w:pStyle w:val="FirstParagraph"/>
      </w:pPr>
      <w:r>
        <w:t xml:space="preserve">The Sales Report acknowledges challenges specific to Belgium Brussels operations. Rising operational costs (11% YoY) due to compliance requirements necessitated our Banker team to implement AI-driven workflow optimization, reducing processing time by 37%. Additionally, competition from digital-only banks required us to enhance our hybrid service model – now offering 24/7 virtual banking with in-person availability at our Brussels headquarters within 15 minutes of any client request.</w:t>
      </w:r>
    </w:p>
    <w:bookmarkEnd w:id="25"/>
    <w:bookmarkStart w:id="26" w:name="future-outlook-and-strategic-imperatives"/>
    <w:p>
      <w:pPr>
        <w:pStyle w:val="Heading2"/>
      </w:pPr>
      <w:r>
        <w:t xml:space="preserve">Future Outlook and Strategic Imperatives</w:t>
      </w:r>
    </w:p>
    <w:p>
      <w:pPr>
        <w:pStyle w:val="FirstParagraph"/>
      </w:pPr>
      <w:r>
        <w:t xml:space="preserve">Based on this Sales Report, we project 15% YoY growth for Belgium Brussels in 2024, with three strategic priorities:</w:t>
      </w:r>
    </w:p>
    <w:p>
      <w:pPr>
        <w:numPr>
          <w:ilvl w:val="0"/>
          <w:numId w:val="1004"/>
        </w:numPr>
        <w:pStyle w:val="Compact"/>
      </w:pPr>
      <w:r>
        <w:rPr>
          <w:bCs/>
          <w:b/>
        </w:rPr>
        <w:t xml:space="preserve">Deepening EU Regulatory Expertise:</w:t>
      </w:r>
      <w:r>
        <w:t xml:space="preserve"> </w:t>
      </w:r>
      <w:r>
        <w:t xml:space="preserve">Establishing a dedicated Brussels Compliance Task Force to preemptively address upcoming AML/CFT regulations.</w:t>
      </w:r>
    </w:p>
    <w:p>
      <w:pPr>
        <w:numPr>
          <w:ilvl w:val="0"/>
          <w:numId w:val="1004"/>
        </w:numPr>
        <w:pStyle w:val="Compact"/>
      </w:pPr>
      <w:r>
        <w:rPr>
          <w:bCs/>
          <w:b/>
        </w:rPr>
        <w:t xml:space="preserve">Expansion of Digital Partnerships:</w:t>
      </w:r>
      <w:r>
        <w:t xml:space="preserve"> </w:t>
      </w:r>
      <w:r>
        <w:t xml:space="preserve">Integrating with major Belgian fintechs like MONEI and PayFit to enhance our digital offerings in the local ecosystem.</w:t>
      </w:r>
    </w:p>
    <w:p>
      <w:pPr>
        <w:numPr>
          <w:ilvl w:val="0"/>
          <w:numId w:val="1004"/>
        </w:numPr>
        <w:pStyle w:val="Compact"/>
      </w:pPr>
      <w:r>
        <w:rPr>
          <w:bCs/>
          <w:b/>
        </w:rPr>
        <w:t xml:space="preserve">Talent Development in Belgium Brussels:</w:t>
      </w:r>
      <w:r>
        <w:t xml:space="preserve"> </w:t>
      </w:r>
      <w:r>
        <w:t xml:space="preserve">Launching a "Brussels Banking Academy" to train Banker staff on regional market nuances, targeting 100% team certification by Q2 2024.</w:t>
      </w:r>
    </w:p>
    <w:bookmarkEnd w:id="26"/>
    <w:bookmarkStart w:id="27" w:name="conclusion"/>
    <w:p>
      <w:pPr>
        <w:pStyle w:val="Heading2"/>
      </w:pPr>
      <w:r>
        <w:t xml:space="preserve">Conclusion</w:t>
      </w:r>
    </w:p>
    <w:p>
      <w:pPr>
        <w:pStyle w:val="FirstParagraph"/>
      </w:pPr>
      <w:r>
        <w:t xml:space="preserve">This Sales Report underscores that our strategic focus as a Banker in Belgium Brussels has yielded exceptional results through market-specific innovation. The 19% growth in premium client acquisitions and 153% ESG product traction prove that understanding Belgium's unique financial ecosystem is non-negotiable for success. As the heart of European banking, Brussels demands more than transactional relationships – it requires Bankers who operate with cultural intelligence, regulatory foresight, and solution-oriented partnership. We remain committed to leading this evolution through continuous adaptation of our Sales Report framework to anticipate market shifts before they occur.</w:t>
      </w:r>
    </w:p>
    <w:p>
      <w:pPr>
        <w:pStyle w:val="BodyText"/>
      </w:pPr>
      <w:r>
        <w:t xml:space="preserve">Looking ahead, our Banker team will maintain its position as the premier financial partner for businesses and individuals navigating Belgium Brussels' complex economic terrain. This Sales Report isn't merely a record of achievements; it's a living document that fuels our next phase of growth in one of Europe's most influential financial centers. The future belongs to those who understand that in Belgium Brussels, banking excellence is measured not just in numbers, but in the depth of relationships built and value created within this unique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Banking Performance in Belgium Brussels</dc:title>
  <dc:creator/>
  <dc:language>en</dc:language>
  <cp:keywords/>
  <dcterms:created xsi:type="dcterms:W3CDTF">2026-07-24T19:34:39Z</dcterms:created>
  <dcterms:modified xsi:type="dcterms:W3CDTF">2026-07-24T19:34:39Z</dcterms:modified>
</cp:coreProperties>
</file>

<file path=docProps/custom.xml><?xml version="1.0" encoding="utf-8"?>
<Properties xmlns="http://schemas.openxmlformats.org/officeDocument/2006/custom-properties" xmlns:vt="http://schemas.openxmlformats.org/officeDocument/2006/docPropsVTypes"/>
</file>