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Banker</w:t>
      </w:r>
      <w:r>
        <w:t xml:space="preserve"> </w:t>
      </w:r>
      <w:r>
        <w:t xml:space="preserve">Performance</w:t>
      </w:r>
      <w:r>
        <w:t xml:space="preserve"> </w:t>
      </w:r>
      <w:r>
        <w:t xml:space="preserve">in</w:t>
      </w:r>
      <w:r>
        <w:t xml:space="preserve"> </w:t>
      </w:r>
      <w:r>
        <w:t xml:space="preserve">Brazil</w:t>
      </w:r>
      <w:r>
        <w:t xml:space="preserve"> </w:t>
      </w:r>
      <w:r>
        <w:t xml:space="preserve">Brasília</w:t>
      </w:r>
    </w:p>
    <w:bookmarkStart w:id="27" w:name="X4be91f00998cd34fc4d21ff20e3c4a4b432a691"/>
    <w:p>
      <w:pPr>
        <w:pStyle w:val="Heading1"/>
      </w:pPr>
      <w:r>
        <w:t xml:space="preserve">QUARTERLY SALES REPORT FOR BANKER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Banco Central do Brasil &amp; Regional Management</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our Banking Team operating in Brazil Brasília during Q3 2023. As a premier financial institution serving the Federal District, our Banker representatives achieved remarkable growth across corporate and retail segments, directly contributing to regional market leadership. Despite macroeconomic volatility in Brazil, the Brasília operations exceeded quarterly targets by 18.7%, securing new strategic partnerships with government entities and expanding our commercial client base by 23%. This report underscores the critical role of our local Banker ecosystem in navigating Brazil's complex financial landscape while driving sustainable growth within Brasília's dynamic economy.</w:t>
      </w:r>
    </w:p>
    <w:bookmarkEnd w:id="20"/>
    <w:bookmarkStart w:id="21" w:name="market-analysis-brazil-brasília-context"/>
    <w:p>
      <w:pPr>
        <w:pStyle w:val="Heading2"/>
      </w:pPr>
      <w:r>
        <w:t xml:space="preserve">Market Analysis: Brazil Brasília Context</w:t>
      </w:r>
    </w:p>
    <w:p>
      <w:pPr>
        <w:pStyle w:val="FirstParagraph"/>
      </w:pPr>
      <w:r>
        <w:t xml:space="preserve">Brasília remains the nerve center of Brazilian financial administration, housing key institutions including the Central Bank's regional office and major federal agencies. In Q3 2023, this strategic location presented both challenges and opportunities for our Banker team. The city's economy grew at 4.1% annually (IBGE data), driven by government contracts, infrastructure projects, and rising corporate investments in the Federal District. However, inflationary pressures (5.5% YoY) required nuanced financial solutions from our Banker specialists.</w:t>
      </w:r>
    </w:p>
    <w:p>
      <w:pPr>
        <w:pStyle w:val="BodyText"/>
      </w:pPr>
      <w:r>
        <w:t xml:space="preserve">Notably, Brazil Brasília's unique market demands necessitate deep cultural intelligence and local regulatory expertise. Our Banker team demonstrated exceptional adaptability by tailoring credit products for federal contractors and aligning treasury solutions with the Ministry of Finance's spending cycles. The high concentration of diplomatic missions and multinational HQs in Brasília also created premium opportunities for our wealth management division, which generated 32% of new client acquisitions this quarter.</w:t>
      </w:r>
    </w:p>
    <w:bookmarkEnd w:id="21"/>
    <w:bookmarkStart w:id="22" w:name="sales-performance-highlights"/>
    <w:p>
      <w:pPr>
        <w:pStyle w:val="Heading2"/>
      </w:pPr>
      <w:r>
        <w:t xml:space="preserve">Sales Performance Highlights</w:t>
      </w:r>
    </w:p>
    <w:p>
      <w:pPr>
        <w:pStyle w:val="FirstParagraph"/>
      </w:pPr>
      <w:r>
        <w:t xml:space="preserve">Our Banker representatives in Brazil Brasília achieved industry-leading results through strategic client engagement and product innovation:</w:t>
      </w:r>
    </w:p>
    <w:p>
      <w:pPr>
        <w:numPr>
          <w:ilvl w:val="0"/>
          <w:numId w:val="1001"/>
        </w:numPr>
        <w:pStyle w:val="Compact"/>
      </w:pPr>
      <w:r>
        <w:rPr>
          <w:bCs/>
          <w:b/>
        </w:rPr>
        <w:t xml:space="preserve">Portfolio Growth:</w:t>
      </w:r>
      <w:r>
        <w:t xml:space="preserve"> </w:t>
      </w:r>
      <w:r>
        <w:t xml:space="preserve">$142.8M in new commercial accounts (up 27% from Q2), including landmark agreements with three federal ministries for digital treasury services</w:t>
      </w:r>
    </w:p>
    <w:p>
      <w:pPr>
        <w:numPr>
          <w:ilvl w:val="0"/>
          <w:numId w:val="1001"/>
        </w:numPr>
        <w:pStyle w:val="Compact"/>
      </w:pPr>
      <w:r>
        <w:rPr>
          <w:bCs/>
          <w:b/>
        </w:rPr>
        <w:t xml:space="preserve">Retail Expansion:</w:t>
      </w:r>
      <w:r>
        <w:t xml:space="preserve"> </w:t>
      </w:r>
      <w:r>
        <w:t xml:space="preserve">Acquired 1,850 new premium clients through localized financial wellness workshops across Brasília's affluent neighborhoods (Lago Sul, Asa Sul)</w:t>
      </w:r>
    </w:p>
    <w:p>
      <w:pPr>
        <w:numPr>
          <w:ilvl w:val="0"/>
          <w:numId w:val="1001"/>
        </w:numPr>
        <w:pStyle w:val="Compact"/>
      </w:pPr>
      <w:r>
        <w:rPr>
          <w:bCs/>
          <w:b/>
        </w:rPr>
        <w:t xml:space="preserve">Cross-Sell Success:</w:t>
      </w:r>
      <w:r>
        <w:t xml:space="preserve"> </w:t>
      </w:r>
      <w:r>
        <w:t xml:space="preserve">68% of corporate clients adopted additional services (trade finance + FX hedging), exceeding the regional average by 22 percentage points</w:t>
      </w:r>
    </w:p>
    <w:p>
      <w:pPr>
        <w:numPr>
          <w:ilvl w:val="0"/>
          <w:numId w:val="1001"/>
        </w:numPr>
        <w:pStyle w:val="Compact"/>
      </w:pPr>
      <w:r>
        <w:rPr>
          <w:bCs/>
          <w:b/>
        </w:rPr>
        <w:t xml:space="preserve">Technology Adoption:</w:t>
      </w:r>
      <w:r>
        <w:t xml:space="preserve"> </w:t>
      </w:r>
      <w:r>
        <w:t xml:space="preserve">94% client onboarding via our mobile platform "Brasília Finance," reducing processing time by 70%</w:t>
      </w:r>
    </w:p>
    <w:p>
      <w:pPr>
        <w:pStyle w:val="FirstParagraph"/>
      </w:pPr>
      <w:r>
        <w:t xml:space="preserve">The Banker team's success was particularly evident in the government sector. By understanding Brazil's public procurement regulations, they secured a $35M treasury management contract with the Ministry of Health – the largest single transaction in Brasília history for our institution. This achievement directly strengthened our position as "the Banker of Choice for Federal Entities" within Brazil Brasília.</w:t>
      </w:r>
    </w:p>
    <w:bookmarkEnd w:id="22"/>
    <w:bookmarkStart w:id="23" w:name="operational-insights-from-the-field"/>
    <w:p>
      <w:pPr>
        <w:pStyle w:val="Heading2"/>
      </w:pPr>
      <w:r>
        <w:t xml:space="preserve">Operational Insights from the Field</w:t>
      </w:r>
    </w:p>
    <w:p>
      <w:pPr>
        <w:pStyle w:val="FirstParagraph"/>
      </w:pPr>
      <w:r>
        <w:t xml:space="preserve">On-the-ground observations from our Banker representatives revealed critical market nuances:</w:t>
      </w:r>
    </w:p>
    <w:p>
      <w:pPr>
        <w:numPr>
          <w:ilvl w:val="0"/>
          <w:numId w:val="1002"/>
        </w:numPr>
        <w:pStyle w:val="Compact"/>
      </w:pPr>
      <w:r>
        <w:rPr>
          <w:bCs/>
          <w:b/>
        </w:rPr>
        <w:t xml:space="preserve">Regulatory Navigation:</w:t>
      </w:r>
      <w:r>
        <w:t xml:space="preserve"> </w:t>
      </w:r>
      <w:r>
        <w:t xml:space="preserve">"Brazil Brasília's unique administrative structure requires constant engagement with municipal finance departments beyond federal channels," noted Ana Lima, Senior Banker at our Brasília Central office.</w:t>
      </w:r>
    </w:p>
    <w:p>
      <w:pPr>
        <w:numPr>
          <w:ilvl w:val="0"/>
          <w:numId w:val="1002"/>
        </w:numPr>
        <w:pStyle w:val="Compact"/>
      </w:pPr>
      <w:r>
        <w:rPr>
          <w:bCs/>
          <w:b/>
        </w:rPr>
        <w:t xml:space="preserve">Cultural Intelligence:</w:t>
      </w:r>
      <w:r>
        <w:t xml:space="preserve"> </w:t>
      </w:r>
      <w:r>
        <w:t xml:space="preserve">Successful client meetings incorporated local customs – such as scheduling afternoon coffee sessions (café da tarde) during negotiations – which increased closing rates by 19%.</w:t>
      </w:r>
    </w:p>
    <w:p>
      <w:pPr>
        <w:numPr>
          <w:ilvl w:val="0"/>
          <w:numId w:val="1002"/>
        </w:numPr>
        <w:pStyle w:val="Compact"/>
      </w:pPr>
      <w:r>
        <w:rPr>
          <w:bCs/>
          <w:b/>
        </w:rPr>
        <w:t xml:space="preserve">Competition Response:</w:t>
      </w:r>
      <w:r>
        <w:t xml:space="preserve"> </w:t>
      </w:r>
      <w:r>
        <w:t xml:space="preserve">When rival banks launched "Brasília-Exclusive" offers, our Banker team countered with hyper-localized SME packages addressing the city's high construction sector needs.</w:t>
      </w:r>
    </w:p>
    <w:p>
      <w:pPr>
        <w:pStyle w:val="FirstParagraph"/>
      </w:pPr>
      <w:r>
        <w:t xml:space="preserve">The Sales Report confirms that Brazil Brasília's success stems from embedding Banker staff within the community. Our 85% local hire rate in Brasília (compared to 62% nationally) enabled rapid cultural adaptation, with Bankers demonstrating deep knowledge of Federal District tax policies and municipal investment priorities.</w:t>
      </w:r>
    </w:p>
    <w:bookmarkEnd w:id="23"/>
    <w:bookmarkStart w:id="24" w:name="challenges-strategic-adaptations"/>
    <w:p>
      <w:pPr>
        <w:pStyle w:val="Heading2"/>
      </w:pPr>
      <w:r>
        <w:t xml:space="preserve">Challenges &amp; Strategic Adaptations</w:t>
      </w:r>
    </w:p>
    <w:p>
      <w:pPr>
        <w:pStyle w:val="FirstParagraph"/>
      </w:pPr>
      <w:r>
        <w:t xml:space="preserve">While achieving strong results, our Banker team faced significant hurdles in Brazil Brasília:</w:t>
      </w:r>
    </w:p>
    <w:p>
      <w:pPr>
        <w:numPr>
          <w:ilvl w:val="0"/>
          <w:numId w:val="1003"/>
        </w:numPr>
        <w:pStyle w:val="Compact"/>
      </w:pPr>
      <w:r>
        <w:rPr>
          <w:bCs/>
          <w:b/>
        </w:rPr>
        <w:t xml:space="preserve">Regulatory Complexity:</w:t>
      </w:r>
      <w:r>
        <w:t xml:space="preserve"> </w:t>
      </w:r>
      <w:r>
        <w:t xml:space="preserve">Frequent changes to municipal procurement rules required real-time updates to our sales playbook</w:t>
      </w:r>
    </w:p>
    <w:p>
      <w:pPr>
        <w:numPr>
          <w:ilvl w:val="0"/>
          <w:numId w:val="1003"/>
        </w:numPr>
        <w:pStyle w:val="Compact"/>
      </w:pPr>
      <w:r>
        <w:rPr>
          <w:bCs/>
          <w:b/>
        </w:rPr>
        <w:t xml:space="preserve">Economic Uncertainty:</w:t>
      </w:r>
      <w:r>
        <w:t xml:space="preserve"> </w:t>
      </w:r>
      <w:r>
        <w:t xml:space="preserve">Inflation reduced SME purchasing power, demanding flexible payment solutions</w:t>
      </w:r>
    </w:p>
    <w:p>
      <w:pPr>
        <w:pStyle w:val="FirstParagraph"/>
      </w:pPr>
      <w:r>
        <w:t xml:space="preserve">In response, we implemented three key adaptations documented in this Sales Report:</w:t>
      </w:r>
    </w:p>
    <w:p>
      <w:pPr>
        <w:numPr>
          <w:ilvl w:val="0"/>
          <w:numId w:val="1004"/>
        </w:numPr>
        <w:pStyle w:val="Compact"/>
      </w:pPr>
      <w:r>
        <w:t xml:space="preserve">Created a dedicated "Brasília Regulatory Task Force" within our Banker team to monitor municipal policy changes</w:t>
      </w:r>
    </w:p>
    <w:p>
      <w:pPr>
        <w:numPr>
          <w:ilvl w:val="0"/>
          <w:numId w:val="1004"/>
        </w:numPr>
        <w:pStyle w:val="Compact"/>
      </w:pPr>
      <w:r>
        <w:t xml:space="preserve">Launched the "Cresça Brasília" program offering SMEs interest-free credit for 90 days during Brazil's high-inflation period</w:t>
      </w:r>
    </w:p>
    <w:p>
      <w:pPr>
        <w:numPr>
          <w:ilvl w:val="0"/>
          <w:numId w:val="1004"/>
        </w:numPr>
        <w:pStyle w:val="Compact"/>
      </w:pPr>
      <w:r>
        <w:t xml:space="preserve">Developed a client portal with real-time tax impact simulations for Federal District businesses</w:t>
      </w:r>
    </w:p>
    <w:bookmarkEnd w:id="24"/>
    <w:bookmarkStart w:id="25" w:name="X6c88efb2860773eaca091e614e9a1750a2c5a15"/>
    <w:p>
      <w:pPr>
        <w:pStyle w:val="Heading2"/>
      </w:pPr>
      <w:r>
        <w:t xml:space="preserve">Future Sales Strategy for Brazil Brasília</w:t>
      </w:r>
    </w:p>
    <w:p>
      <w:pPr>
        <w:pStyle w:val="FirstParagraph"/>
      </w:pPr>
      <w:r>
        <w:t xml:space="preserve">Building on our Q3 success, the Banker strategy for Brazil Brasília focuses on three pillars:</w:t>
      </w:r>
    </w:p>
    <w:p>
      <w:pPr>
        <w:numPr>
          <w:ilvl w:val="0"/>
          <w:numId w:val="1005"/>
        </w:numPr>
        <w:pStyle w:val="Compact"/>
      </w:pPr>
      <w:r>
        <w:rPr>
          <w:bCs/>
          <w:b/>
        </w:rPr>
        <w:t xml:space="preserve">Government Partnership Expansion:</w:t>
      </w:r>
      <w:r>
        <w:t xml:space="preserve"> </w:t>
      </w:r>
      <w:r>
        <w:t xml:space="preserve">Targeting 15+ new federal agency contracts by Q1 2024 through specialized treasury teams</w:t>
      </w:r>
    </w:p>
    <w:p>
      <w:pPr>
        <w:numPr>
          <w:ilvl w:val="0"/>
          <w:numId w:val="1005"/>
        </w:numPr>
        <w:pStyle w:val="Compact"/>
      </w:pPr>
      <w:r>
        <w:rPr>
          <w:bCs/>
          <w:b/>
        </w:rPr>
        <w:t xml:space="preserve">SME Digital Transformation:</w:t>
      </w:r>
      <w:r>
        <w:t xml:space="preserve"> </w:t>
      </w:r>
      <w:r>
        <w:t xml:space="preserve">Launching AI-powered cash flow forecasting for Brasília's construction sector (employing 38% of local workforce)</w:t>
      </w:r>
    </w:p>
    <w:p>
      <w:pPr>
        <w:numPr>
          <w:ilvl w:val="0"/>
          <w:numId w:val="1005"/>
        </w:numPr>
        <w:pStyle w:val="Compact"/>
      </w:pPr>
      <w:r>
        <w:rPr>
          <w:bCs/>
          <w:b/>
        </w:rPr>
        <w:t xml:space="preserve">Community Investment:</w:t>
      </w:r>
      <w:r>
        <w:t xml:space="preserve"> </w:t>
      </w:r>
      <w:r>
        <w:t xml:space="preserve">Establishing "Brasília Financial Literacy Centers" in partnership with local universities to nurture future clients</w:t>
      </w:r>
    </w:p>
    <w:p>
      <w:pPr>
        <w:pStyle w:val="FirstParagraph"/>
      </w:pPr>
      <w:r>
        <w:t xml:space="preserve">These initiatives directly support our corporate mission while addressing Brazil Brasília's specific economic needs. The Sales Report quantifies that 82% of target prospects in the Federal District now prioritize banks with demonstrated community investment – a metric our Banker team leads in the region.</w:t>
      </w:r>
    </w:p>
    <w:bookmarkEnd w:id="25"/>
    <w:bookmarkStart w:id="26" w:name="conclusion"/>
    <w:p>
      <w:pPr>
        <w:pStyle w:val="Heading2"/>
      </w:pPr>
      <w:r>
        <w:t xml:space="preserve">Conclusion</w:t>
      </w:r>
    </w:p>
    <w:p>
      <w:pPr>
        <w:pStyle w:val="FirstParagraph"/>
      </w:pPr>
      <w:r>
        <w:t xml:space="preserve">This Sales Report unequivocally demonstrates how our Banker professionals in Brazil Brasília are driving institutional success through deep market understanding and localized execution. By mastering the unique dynamics of Brazil's capital city – from federal procurement intricacies to cultural business practices – our team has not only met but exceeded growth targets. The results confirm that when Banker strategies align with Brasília's economic priorities, they generate compounding value for both clients and our institution.</w:t>
      </w:r>
    </w:p>
    <w:p>
      <w:pPr>
        <w:pStyle w:val="BodyText"/>
      </w:pPr>
      <w:r>
        <w:t xml:space="preserve">As we enter 2024, the Sales Report establishes a new benchmark: In Brazil Brasília, success is measured not just in revenue figures, but in how deeply our Banker partnerships integrate with the city's development trajectory. This localized excellence positions us to become Brazil's most trusted financial partner for federal and municipal entities across all 55 municipalities of the Federal District.</w:t>
      </w:r>
    </w:p>
    <w:p>
      <w:pPr>
        <w:pStyle w:val="BodyText"/>
      </w:pPr>
      <w:r>
        <w:rPr>
          <w:bCs/>
          <w:b/>
        </w:rPr>
        <w:t xml:space="preserve">Prepared by: Regional Sales Leadership, Brazil Brasília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Banker Performance in Brazil Brasília</dc:title>
  <dc:creator/>
  <cp:keywords/>
  <dcterms:created xsi:type="dcterms:W3CDTF">2026-07-23T20:31:19Z</dcterms:created>
  <dcterms:modified xsi:type="dcterms:W3CDTF">2026-07-23T20:31:19Z</dcterms:modified>
</cp:coreProperties>
</file>

<file path=docProps/custom.xml><?xml version="1.0" encoding="utf-8"?>
<Properties xmlns="http://schemas.openxmlformats.org/officeDocument/2006/custom-properties" xmlns:vt="http://schemas.openxmlformats.org/officeDocument/2006/docPropsVTypes"/>
</file>