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Performance</w:t>
      </w:r>
      <w:r>
        <w:t xml:space="preserve"> </w:t>
      </w:r>
      <w:r>
        <w:t xml:space="preserve">Report:</w:t>
      </w:r>
      <w:r>
        <w:t xml:space="preserve"> </w:t>
      </w:r>
      <w:r>
        <w:t xml:space="preserve">Toronto</w:t>
      </w:r>
      <w:r>
        <w:t xml:space="preserve"> </w:t>
      </w:r>
      <w:r>
        <w:t xml:space="preserve">Banking</w:t>
      </w:r>
      <w:r>
        <w:t xml:space="preserve"> </w:t>
      </w:r>
      <w:r>
        <w:t xml:space="preserve">Division</w:t>
      </w:r>
    </w:p>
    <w:bookmarkStart w:id="27" w:name="Xd18d5876304d760ad72aee04a36266e07b5195d"/>
    <w:p>
      <w:pPr>
        <w:pStyle w:val="Heading1"/>
      </w:pPr>
      <w:r>
        <w:t xml:space="preserve">Annual Sales Performance Report: Toronto Banking Division, Canada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Canadian Banking Operations</w:t>
      </w:r>
      <w:r>
        <w:br/>
      </w:r>
      <w:r>
        <w:rPr>
          <w:bCs/>
          <w:b/>
        </w:rPr>
        <w:t xml:space="preserve">From:</w:t>
      </w:r>
      <w:r>
        <w:t xml:space="preserve"> </w:t>
      </w:r>
      <w:r>
        <w:t xml:space="preserve">Toronto Sales Strategy Team</w:t>
      </w:r>
      <w:r>
        <w:br/>
      </w:r>
    </w:p>
    <w:p>
      <w:pPr>
        <w:pStyle w:val="BodyText"/>
      </w:pPr>
      <w:r>
        <w:t xml:space="preserve">Subject: Comprehensive Analysis of Sales Performance for Financial Institution in Canada Toronto Market</w:t>
      </w:r>
    </w:p>
    <w:bookmarkStart w:id="20" w:name="i.-executive-summary"/>
    <w:p>
      <w:pPr>
        <w:pStyle w:val="Heading2"/>
      </w:pPr>
      <w:r>
        <w:t xml:space="preserve">I. Executive Summary</w:t>
      </w:r>
    </w:p>
    <w:p>
      <w:pPr>
        <w:pStyle w:val="FirstParagraph"/>
      </w:pPr>
      <w:r>
        <w:t xml:space="preserve">This Sales Report details the performance of our banking operations across Canada's most dynamic financial hub: Toronto. As a premier Banker serving Ontario's largest metropolitan market, we've navigated complex economic conditions while achieving strategic sales milestones that reinforce our position as a leader in Canadian retail and commercial banking. The Toronto division generated $142.7M in new business revenue during fiscal year 2023, representing a 15.3% year-over-year increase and surpassing our annual target by 8.7%. This report underscores how strategic client acquisition, digital innovation, and hyper-localized service approaches have driven success for every Banker operating within Canada Toronto's competitive landscape.</w:t>
      </w:r>
    </w:p>
    <w:p>
      <w:pPr>
        <w:pStyle w:val="BodyText"/>
      </w:pPr>
      <w:r>
        <w:rPr>
          <w:bCs/>
          <w:b/>
        </w:rPr>
        <w:t xml:space="preserve">Key Achievement:</w:t>
      </w:r>
      <w:r>
        <w:t xml:space="preserve"> </w:t>
      </w:r>
      <w:r>
        <w:t xml:space="preserve">Toronto outperformed all Canadian regional markets in cross-selling success, achieving a 42.3% client retention rate for multi-product portfolios—a 9.5-point advantage over national average. This demonstrates the effectiveness of our Banker-centric relationship management strategy in Canada's most sophisticated banking market.</w:t>
      </w:r>
    </w:p>
    <w:bookmarkEnd w:id="20"/>
    <w:bookmarkStart w:id="21" w:name="X369af33ba510200868e58273f5888db785f62c0"/>
    <w:p>
      <w:pPr>
        <w:pStyle w:val="Heading2"/>
      </w:pPr>
      <w:r>
        <w:t xml:space="preserve">II. Toronto Market Analysis: Context for Sales Performance</w:t>
      </w:r>
    </w:p>
    <w:p>
      <w:pPr>
        <w:pStyle w:val="FirstParagraph"/>
      </w:pPr>
      <w:r>
        <w:t xml:space="preserve">Toronto remains the epicenter of Canada's financial industry, accounting for 37% of the nation's total banking assets. With its diverse population exceeding 6 million residents and a growing immigrant community (45% foreign-born), Canada Toronto presents unique opportunities and challenges. Our Banker team has strategically focused on three key segments: high-net-worth individuals (HNWIs), emerging SMEs, and first-time homebuyers—each representing critical growth vectors in our Sales Report framework.</w:t>
      </w:r>
    </w:p>
    <w:p>
      <w:pPr>
        <w:pStyle w:val="BodyText"/>
      </w:pPr>
      <w:r>
        <w:t xml:space="preserve">The economic environment significantly impacted sales trajectories. While Canada's interest rate hikes created headwinds for mortgage lending, Toronto's robust job market (unemployment at 4.8%) enabled our Banker to pivot toward wealth management and business banking solutions. Notably, we observed a 22% surge in demand for ESG-compliant financial products among Toronto-based SMEs—a trend directly influencing our sales playbook.</w:t>
      </w:r>
    </w:p>
    <w:bookmarkEnd w:id="21"/>
    <w:bookmarkStart w:id="22" w:name="X39984d75567dfa8b712dc008f0fecdb6b770a5f"/>
    <w:p>
      <w:pPr>
        <w:pStyle w:val="Heading2"/>
      </w:pPr>
      <w:r>
        <w:t xml:space="preserve">III. Sales Performance Metrics: Canada Toronto Division</w:t>
      </w:r>
    </w:p>
    <w:p>
      <w:pPr>
        <w:pStyle w:val="FirstParagraph"/>
      </w:pPr>
      <w:r>
        <w:t xml:space="preserve">The following metrics showcase how our Banker teams executed within Canada's most competitive market:</w:t>
      </w:r>
    </w:p>
    <w:p>
      <w:pPr>
        <w:numPr>
          <w:ilvl w:val="0"/>
          <w:numId w:val="1001"/>
        </w:numPr>
        <w:pStyle w:val="Compact"/>
      </w:pPr>
      <w:r>
        <w:rPr>
          <w:bCs/>
          <w:b/>
        </w:rPr>
        <w:t xml:space="preserve">New Client Acquisition:</w:t>
      </w:r>
      <w:r>
        <w:t xml:space="preserve"> </w:t>
      </w:r>
      <w:r>
        <w:t xml:space="preserve">1,473 high-value accounts opened (vs. 1,208 in 2022), with Toronto accounting for 63% of all new clients across Canada</w:t>
      </w:r>
    </w:p>
    <w:p>
      <w:pPr>
        <w:numPr>
          <w:ilvl w:val="0"/>
          <w:numId w:val="1001"/>
        </w:numPr>
        <w:pStyle w:val="Compact"/>
      </w:pPr>
      <w:r>
        <w:rPr>
          <w:bCs/>
          <w:b/>
        </w:rPr>
        <w:t xml:space="preserve">Mortgage Portfolio Growth:</w:t>
      </w:r>
      <w:r>
        <w:t xml:space="preserve"> </w:t>
      </w:r>
      <w:r>
        <w:t xml:space="preserve">$89M in new residential mortgages despite rate environment—driven by our Banker's customized refinancing strategies</w:t>
      </w:r>
    </w:p>
    <w:p>
      <w:pPr>
        <w:numPr>
          <w:ilvl w:val="0"/>
          <w:numId w:val="1001"/>
        </w:numPr>
        <w:pStyle w:val="Compact"/>
      </w:pPr>
      <w:r>
        <w:rPr>
          <w:bCs/>
          <w:b/>
        </w:rPr>
        <w:t xml:space="preserve">Business Banking Expansion:</w:t>
      </w:r>
      <w:r>
        <w:t xml:space="preserve"> </w:t>
      </w:r>
      <w:r>
        <w:t xml:space="preserve">38% increase in SME commercial loan originations, with Toronto representing 72% of national SME portfolio growth</w:t>
      </w:r>
    </w:p>
    <w:p>
      <w:pPr>
        <w:numPr>
          <w:ilvl w:val="0"/>
          <w:numId w:val="1001"/>
        </w:numPr>
        <w:pStyle w:val="Compact"/>
      </w:pPr>
      <w:r>
        <w:rPr>
          <w:bCs/>
          <w:b/>
        </w:rPr>
        <w:t xml:space="preserve">Digital Adoption Rate:</w:t>
      </w:r>
      <w:r>
        <w:t xml:space="preserve"> </w:t>
      </w:r>
      <w:r>
        <w:t xml:space="preserve">64% of new clients engaged through mobile banking channels—a Toronto-specific initiative that boosted sales efficiency by 31%</w:t>
      </w:r>
    </w:p>
    <w:bookmarkEnd w:id="22"/>
    <w:bookmarkStart w:id="23" w:name="X8b198d75cbe93a0f2e396f043213c2f4d65d91a"/>
    <w:p>
      <w:pPr>
        <w:pStyle w:val="Heading2"/>
      </w:pPr>
      <w:r>
        <w:t xml:space="preserve">IV. Banker Success Factors: Toronto's Competitive Advantage</w:t>
      </w:r>
    </w:p>
    <w:p>
      <w:pPr>
        <w:pStyle w:val="FirstParagraph"/>
      </w:pPr>
      <w:r>
        <w:t xml:space="preserve">What distinguishes our Banker performance in Canada Toronto? Three strategic pillars drove results:</w:t>
      </w:r>
    </w:p>
    <w:p>
      <w:pPr>
        <w:pStyle w:val="BodyText"/>
      </w:pPr>
      <w:r>
        <w:rPr>
          <w:bCs/>
          <w:b/>
        </w:rPr>
        <w:t xml:space="preserve">1. Hyper-Localized Relationship Building:</w:t>
      </w:r>
      <w:r>
        <w:t xml:space="preserve"> </w:t>
      </w:r>
      <w:r>
        <w:t xml:space="preserve">Toronto's diversity requires culturally attuned engagement. Our Bankers completed 3,200+ community events across Scarborough, downtown, and the GTA—specifically addressing immigrant business needs in languages including Mandarin, Spanish and Urdu. This localized approach generated 47% of new SME leads.</w:t>
      </w:r>
    </w:p>
    <w:p>
      <w:pPr>
        <w:pStyle w:val="BodyText"/>
      </w:pPr>
      <w:r>
        <w:rPr>
          <w:bCs/>
          <w:b/>
        </w:rPr>
        <w:t xml:space="preserve">2. Data-Driven Cross-Selling:</w:t>
      </w:r>
      <w:r>
        <w:t xml:space="preserve"> </w:t>
      </w:r>
      <w:r>
        <w:t xml:space="preserve">Leveraging Toronto's unique economic data (e.g., real estate trends, immigration statistics), Bankers delivered personalized product recommendations. For example, when identifying a surge in medical practice startups in Mississauga, Bankers proactively offered tailored business lines of credit with 45% higher conversion rates.</w:t>
      </w:r>
    </w:p>
    <w:p>
      <w:pPr>
        <w:pStyle w:val="BodyText"/>
      </w:pPr>
      <w:r>
        <w:rPr>
          <w:bCs/>
          <w:b/>
        </w:rPr>
        <w:t xml:space="preserve">3. Regulatory Navigation:</w:t>
      </w:r>
      <w:r>
        <w:t xml:space="preserve"> </w:t>
      </w:r>
      <w:r>
        <w:t xml:space="preserve">As Canada's most regulated banking market (OSFI guidelines), Toronto Bankers received specialized compliance training. This enabled seamless client onboarding during the 2023 financial transparency regulations, reducing average sales cycle time by 18% compared to national peers.</w:t>
      </w:r>
    </w:p>
    <w:bookmarkEnd w:id="23"/>
    <w:bookmarkStart w:id="24" w:name="v.-challenges-in-canada-toronto-market"/>
    <w:p>
      <w:pPr>
        <w:pStyle w:val="Heading2"/>
      </w:pPr>
      <w:r>
        <w:t xml:space="preserve">V. Challenges in Canada Toronto Market</w:t>
      </w:r>
    </w:p>
    <w:p>
      <w:pPr>
        <w:pStyle w:val="FirstParagraph"/>
      </w:pPr>
      <w:r>
        <w:t xml:space="preserve">Despite strong performance, significant challenges emerged in the Toronto context:</w:t>
      </w:r>
    </w:p>
    <w:p>
      <w:pPr>
        <w:numPr>
          <w:ilvl w:val="0"/>
          <w:numId w:val="1002"/>
        </w:numPr>
        <w:pStyle w:val="Compact"/>
      </w:pPr>
      <w:r>
        <w:rPr>
          <w:bCs/>
          <w:b/>
        </w:rPr>
        <w:t xml:space="preserve">Competitive Pressure:</w:t>
      </w:r>
      <w:r>
        <w:t xml:space="preserve"> </w:t>
      </w:r>
      <w:r>
        <w:t xml:space="preserve">Rival institutions aggressively targeted our client base with "zero-fee" checking accounts, requiring Bankers to emphasize value beyond pricing (e.g., financial planning services)</w:t>
      </w:r>
    </w:p>
    <w:p>
      <w:pPr>
        <w:numPr>
          <w:ilvl w:val="0"/>
          <w:numId w:val="1002"/>
        </w:numPr>
        <w:pStyle w:val="Compact"/>
      </w:pPr>
      <w:r>
        <w:rPr>
          <w:bCs/>
          <w:b/>
        </w:rPr>
        <w:t xml:space="preserve">Economic Volatility:</w:t>
      </w:r>
      <w:r>
        <w:t xml:space="preserve"> </w:t>
      </w:r>
      <w:r>
        <w:t xml:space="preserve">Rising costs of living impacted middle-market clients' willingness to commit to long-term products—a challenge mitigated by Toronto Bankers introducing flexible payment options</w:t>
      </w:r>
    </w:p>
    <w:p>
      <w:pPr>
        <w:numPr>
          <w:ilvl w:val="0"/>
          <w:numId w:val="1002"/>
        </w:numPr>
        <w:pStyle w:val="Compact"/>
      </w:pPr>
      <w:r>
        <w:rPr>
          <w:bCs/>
          <w:b/>
        </w:rPr>
        <w:t xml:space="preserve">Talent Retention:</w:t>
      </w:r>
      <w:r>
        <w:t xml:space="preserve"> </w:t>
      </w:r>
      <w:r>
        <w:t xml:space="preserve">28% of our top-performing Bankers received offers from competitors; this was addressed through enhanced Toronto-specific professional development programs</w:t>
      </w:r>
    </w:p>
    <w:bookmarkEnd w:id="24"/>
    <w:bookmarkStart w:id="25" w:name="X317ab7fab791bad06384029e48891dba846d42c"/>
    <w:p>
      <w:pPr>
        <w:pStyle w:val="Heading2"/>
      </w:pPr>
      <w:r>
        <w:t xml:space="preserve">VI. Strategic Recommendations for Canada Toronto Sales Growth</w:t>
      </w:r>
    </w:p>
    <w:p>
      <w:pPr>
        <w:pStyle w:val="FirstParagraph"/>
      </w:pPr>
      <w:r>
        <w:t xml:space="preserve">Based on this Sales Report, we recommend three critical initiatives to maintain leadership in Canada Toronto:</w:t>
      </w:r>
    </w:p>
    <w:p>
      <w:pPr>
        <w:numPr>
          <w:ilvl w:val="0"/>
          <w:numId w:val="1003"/>
        </w:numPr>
        <w:pStyle w:val="Compact"/>
      </w:pPr>
      <w:r>
        <w:rPr>
          <w:bCs/>
          <w:b/>
        </w:rPr>
        <w:t xml:space="preserve">Expand Community Banking Hubs:</w:t>
      </w:r>
      <w:r>
        <w:t xml:space="preserve"> </w:t>
      </w:r>
      <w:r>
        <w:t xml:space="preserve">Establish 4 new neighborhood centers in Scarborough and Etobicoke to deepen Banker-client relationships where digital penetration remains lower</w:t>
      </w:r>
    </w:p>
    <w:p>
      <w:pPr>
        <w:numPr>
          <w:ilvl w:val="0"/>
          <w:numId w:val="1003"/>
        </w:numPr>
        <w:pStyle w:val="Compact"/>
      </w:pPr>
      <w:r>
        <w:rPr>
          <w:bCs/>
          <w:b/>
        </w:rPr>
        <w:t xml:space="preserve">AI-Powered Client Insights:</w:t>
      </w:r>
      <w:r>
        <w:t xml:space="preserve"> </w:t>
      </w:r>
      <w:r>
        <w:t xml:space="preserve">Implement predictive analytics to identify Toronto-specific opportunities (e.g., anticipating commercial real estate needs during infrastructure projects)</w:t>
      </w:r>
    </w:p>
    <w:p>
      <w:pPr>
        <w:numPr>
          <w:ilvl w:val="0"/>
          <w:numId w:val="1003"/>
        </w:numPr>
        <w:pStyle w:val="Compact"/>
      </w:pPr>
      <w:r>
        <w:rPr>
          <w:bCs/>
          <w:b/>
        </w:rPr>
        <w:t xml:space="preserve">Toronto Immigrant Financial Pathway:</w:t>
      </w:r>
      <w:r>
        <w:t xml:space="preserve"> </w:t>
      </w:r>
      <w:r>
        <w:t xml:space="preserve">Develop specialized onboarding for new immigrants—a market representing 34% of Toronto's population growth—with dedicated Banker teams trained in cross-cultural finance</w:t>
      </w:r>
    </w:p>
    <w:bookmarkEnd w:id="25"/>
    <w:bookmarkStart w:id="26" w:name="X88151447b9e5177d0c99cc99b7452f590205e71"/>
    <w:p>
      <w:pPr>
        <w:pStyle w:val="Heading2"/>
      </w:pPr>
      <w:r>
        <w:t xml:space="preserve">VII. Conclusion: The Banker's Role in Canada Toronto's Banking Future</w:t>
      </w:r>
    </w:p>
    <w:p>
      <w:pPr>
        <w:pStyle w:val="FirstParagraph"/>
      </w:pPr>
      <w:r>
        <w:t xml:space="preserve">This Sales Report conclusively demonstrates that success in Canada Toronto hinges on the strategic deployment of skilled Bankers who understand local market nuances. Our 15% revenue growth isn't merely a number—it represents 3,400+ new client relationships built through relationship-driven banking, not transactional sales. As Toronto evolves into Canada's fintech capital with over 1,200 financial tech startups operating locally, our Banker teams must further leverage technology while preserving human-centric service that defines Canadian banking excellence.</w:t>
      </w:r>
    </w:p>
    <w:p>
      <w:pPr>
        <w:pStyle w:val="BodyText"/>
      </w:pPr>
      <w:r>
        <w:t xml:space="preserve">In closing, we reaffirm that the most successful Banker in Canada Toronto isn't defined by their sales quota alone but by their ability to translate Toronto's complex economic ecosystem into tailored financial solutions. Our continued investment in Toronto-specific banker training, community engagement, and product innovation will ensure sustained market leadership. The path forward is clear: deepen local roots while expanding digital reach—because when the Banker understands Canada Toronto, success follows naturally.</w:t>
      </w:r>
    </w:p>
    <w:p>
      <w:pPr>
        <w:pStyle w:val="BodyText"/>
      </w:pPr>
      <w:r>
        <w:rPr>
          <w:bCs/>
          <w:b/>
        </w:rPr>
        <w:t xml:space="preserve">Appendix Note:</w:t>
      </w:r>
      <w:r>
        <w:t xml:space="preserve"> </w:t>
      </w:r>
      <w:r>
        <w:t xml:space="preserve">All data referenced pertains to operations within Canada's provincial and municipal banking regulations for Toronto, Ontario. This Sales Report aligns with Bank Act (Canada) requirements for financial reporting in the Greater Toronto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Performance Report: Toronto Banking Division</dc:title>
  <dc:creator/>
  <dc:language>en</dc:language>
  <cp:keywords/>
  <dcterms:created xsi:type="dcterms:W3CDTF">2026-07-23T08:51:02Z</dcterms:created>
  <dcterms:modified xsi:type="dcterms:W3CDTF">2026-07-23T08:51:02Z</dcterms:modified>
</cp:coreProperties>
</file>

<file path=docProps/custom.xml><?xml version="1.0" encoding="utf-8"?>
<Properties xmlns="http://schemas.openxmlformats.org/officeDocument/2006/custom-properties" xmlns:vt="http://schemas.openxmlformats.org/officeDocument/2006/docPropsVTypes"/>
</file>