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Beijing</w:t>
      </w:r>
      <w:r>
        <w:t xml:space="preserve"> </w:t>
      </w:r>
      <w:r>
        <w:t xml:space="preserve">Sales</w:t>
      </w:r>
      <w:r>
        <w:t xml:space="preserve"> </w:t>
      </w:r>
      <w:r>
        <w:t xml:space="preserve">Performance</w:t>
      </w:r>
      <w:r>
        <w:t xml:space="preserve"> </w:t>
      </w:r>
      <w:r>
        <w:t xml:space="preserve">Report:</w:t>
      </w:r>
      <w:r>
        <w:t xml:space="preserve"> </w:t>
      </w:r>
      <w:r>
        <w:t xml:space="preserve">Strategic</w:t>
      </w:r>
      <w:r>
        <w:t xml:space="preserve"> </w:t>
      </w:r>
      <w:r>
        <w:t xml:space="preserve">Insights</w:t>
      </w:r>
      <w:r>
        <w:t xml:space="preserve"> </w:t>
      </w:r>
      <w:r>
        <w:t xml:space="preserve">for</w:t>
      </w:r>
      <w:r>
        <w:t xml:space="preserve"> </w:t>
      </w:r>
      <w:r>
        <w:t xml:space="preserve">Banking</w:t>
      </w:r>
      <w:r>
        <w:t xml:space="preserve"> </w:t>
      </w:r>
      <w:r>
        <w:t xml:space="preserve">Excellence</w:t>
      </w:r>
    </w:p>
    <w:bookmarkStart w:id="28" w:name="X1f287b29bfb186e36384937c8652d935e1f8271"/>
    <w:p>
      <w:pPr>
        <w:pStyle w:val="Heading1"/>
      </w:pPr>
      <w:r>
        <w:t xml:space="preserve">Q3 2023 China Beijing Sales Report: Driving Growth Through Client-Centric Banking Solutions</w:t>
      </w:r>
    </w:p>
    <w:bookmarkStart w:id="20" w:name="executive-summary"/>
    <w:p>
      <w:pPr>
        <w:pStyle w:val="Heading2"/>
      </w:pPr>
      <w:r>
        <w:t xml:space="preserve">Executive Summary</w:t>
      </w:r>
    </w:p>
    <w:p>
      <w:pPr>
        <w:pStyle w:val="FirstParagraph"/>
      </w:pPr>
      <w:r>
        <w:t xml:space="preserve">This comprehensive Sales Report details the performance of our banking operations across China Beijing during the third quarter of 2023. The report underscores how our dedicated Banker teams have successfully navigated Beijing's dynamic financial landscape, achieving a 15% year-over-year increase in high-value client acquisition and surpassing Q3 sales targets by 8.7%. Central to this success was the Banker’s strategic focus on understanding the unique economic drivers of China Beijing – including Belt and Road Initiative (BRI) investments, tech innovation hubs along Zhongguancun Avenue, and the sustained demand from state-owned enterprises (SOEs) in the capital city. This document serves as both an accomplishment review and a blueprint for future growth within our Beijing operations.</w:t>
      </w:r>
    </w:p>
    <w:bookmarkEnd w:id="20"/>
    <w:bookmarkStart w:id="21" w:name="Xed010bf6ee0419d48d16c2252c75f1c46e5aeda"/>
    <w:p>
      <w:pPr>
        <w:pStyle w:val="Heading2"/>
      </w:pPr>
      <w:r>
        <w:t xml:space="preserve">Market Analysis: Beijing's Unique Economic Ecosystem</w:t>
      </w:r>
    </w:p>
    <w:p>
      <w:pPr>
        <w:pStyle w:val="FirstParagraph"/>
      </w:pPr>
      <w:r>
        <w:t xml:space="preserve">China Beijing represents one of the most sophisticated and strategically critical banking markets globally, serving as the political, economic, and financial nerve center of the nation. The Q3 market analysis reveals that Beijing-based enterprises are prioritizing sustainable finance solutions (driven by China’s 2060 carbon neutrality goal) and digital transformation partnerships. Our Banker teams leveraged this insight to tailor offerings around green loans for tech firms in Zhongguancun Science Park and cross-border trade finance aligned with BRI projects. Notably, 42% of new sales in Beijing stemmed from clients actively participating in national strategic initiatives – a significant uptick from Q2 (31%). The Banker’s deep understanding of Beijing’s policy environment (e.g., PBOC digital yuan pilot zones, Beijing Financial Street regulatory guidelines) proved instrumental in positioning us as trusted advisors rather than mere vendors.</w:t>
      </w:r>
    </w:p>
    <w:bookmarkEnd w:id="21"/>
    <w:bookmarkStart w:id="22" w:name="X4a149394c5e241b58aaf82824bdf6072c87d9a7"/>
    <w:p>
      <w:pPr>
        <w:pStyle w:val="Heading2"/>
      </w:pPr>
      <w:r>
        <w:t xml:space="preserve">Key Performance Metrics: Sales Momentum in China Beijing</w:t>
      </w:r>
    </w:p>
    <w:p>
      <w:pPr>
        <w:pStyle w:val="FirstParagraph"/>
      </w:pPr>
      <w:r>
        <w:t xml:space="preserve">Our China Beijing sales performance for Q3 2023 demonstrates exceptional growth across all core segments:</w:t>
      </w:r>
    </w:p>
    <w:p>
      <w:pPr>
        <w:numPr>
          <w:ilvl w:val="0"/>
          <w:numId w:val="1001"/>
        </w:numPr>
        <w:pStyle w:val="Compact"/>
      </w:pPr>
      <w:r>
        <w:rPr>
          <w:bCs/>
          <w:b/>
        </w:rPr>
        <w:t xml:space="preserve">Corporate Lending:</w:t>
      </w:r>
      <w:r>
        <w:t xml:space="preserve"> </w:t>
      </w:r>
      <w:r>
        <w:t xml:space="preserve">+19.4% YoY increase, with a record-breaking $1.8B in new corporate loan disbursements to Beijing-based tech and manufacturing firms.</w:t>
      </w:r>
    </w:p>
    <w:p>
      <w:pPr>
        <w:numPr>
          <w:ilvl w:val="0"/>
          <w:numId w:val="1001"/>
        </w:numPr>
        <w:pStyle w:val="Compact"/>
      </w:pPr>
      <w:r>
        <w:rPr>
          <w:bCs/>
          <w:b/>
        </w:rPr>
        <w:t xml:space="preserve">Wealth Management:</w:t>
      </w:r>
      <w:r>
        <w:t xml:space="preserve"> </w:t>
      </w:r>
      <w:r>
        <w:t xml:space="preserve">Acquired 227 new high-net-worth individuals (HNWIs) – a 35% surge driven by customized retirement and succession planning solutions for family-owned businesses prevalent in Beijing’s business community.</w:t>
      </w:r>
    </w:p>
    <w:p>
      <w:pPr>
        <w:numPr>
          <w:ilvl w:val="0"/>
          <w:numId w:val="1001"/>
        </w:numPr>
        <w:pStyle w:val="Compact"/>
      </w:pPr>
      <w:r>
        <w:rPr>
          <w:bCs/>
          <w:b/>
        </w:rPr>
        <w:t xml:space="preserve">Cross-Sell Ratio:</w:t>
      </w:r>
      <w:r>
        <w:t xml:space="preserve"> </w:t>
      </w:r>
      <w:r>
        <w:t xml:space="preserve">Achieved 4.2 products per active client, reflecting the Banker’s ability to identify holistic financial needs beyond initial product engagements.</w:t>
      </w:r>
    </w:p>
    <w:p>
      <w:pPr>
        <w:numPr>
          <w:ilvl w:val="0"/>
          <w:numId w:val="1001"/>
        </w:numPr>
        <w:pStyle w:val="Compact"/>
      </w:pPr>
      <w:r>
        <w:rPr>
          <w:bCs/>
          <w:b/>
        </w:rPr>
        <w:t xml:space="preserve">Client Retention Rate:</w:t>
      </w:r>
      <w:r>
        <w:t xml:space="preserve"> </w:t>
      </w:r>
      <w:r>
        <w:t xml:space="preserve">Maintained an outstanding 94.7% (exceeding Beijing market average of 89%), directly attributable to proactive relationship management by our local Banker teams.</w:t>
      </w:r>
    </w:p>
    <w:bookmarkEnd w:id="22"/>
    <w:bookmarkStart w:id="23" w:name="X46c9ed53a6cf211c8c523709bbe267faf7072da"/>
    <w:p>
      <w:pPr>
        <w:pStyle w:val="Heading2"/>
      </w:pPr>
      <w:r>
        <w:t xml:space="preserve">Strategic Initiatives: The Banker as a Market Catalyst</w:t>
      </w:r>
    </w:p>
    <w:p>
      <w:pPr>
        <w:pStyle w:val="FirstParagraph"/>
      </w:pPr>
      <w:r>
        <w:t xml:space="preserve">The success in China Beijing was fundamentally enabled by the strategic deployment of our specialized Banker cohort. These professionals underwent targeted training on Beijing-specific market dynamics, including:</w:t>
      </w:r>
    </w:p>
    <w:p>
      <w:pPr>
        <w:numPr>
          <w:ilvl w:val="0"/>
          <w:numId w:val="1002"/>
        </w:numPr>
        <w:pStyle w:val="Compact"/>
      </w:pPr>
      <w:r>
        <w:rPr>
          <w:bCs/>
          <w:b/>
        </w:rPr>
        <w:t xml:space="preserve">Localization Mastery:</w:t>
      </w:r>
      <w:r>
        <w:t xml:space="preserve"> </w:t>
      </w:r>
      <w:r>
        <w:t xml:space="preserve">Understanding nuances of conducting business with Beijing SOEs versus private tech unicorns (e.g., emphasizing data security compliance for state clients, agility and innovation for startups).</w:t>
      </w:r>
    </w:p>
    <w:p>
      <w:pPr>
        <w:numPr>
          <w:ilvl w:val="0"/>
          <w:numId w:val="1002"/>
        </w:numPr>
        <w:pStyle w:val="Compact"/>
      </w:pPr>
      <w:r>
        <w:rPr>
          <w:bCs/>
          <w:b/>
        </w:rPr>
        <w:t xml:space="preserve">Cultural Intelligence:</w:t>
      </w:r>
      <w:r>
        <w:t xml:space="preserve"> </w:t>
      </w:r>
      <w:r>
        <w:t xml:space="preserve">Integrating guanxi principles into client engagement while maintaining regulatory adherence – a critical balance for the Banker operating in China.</w:t>
      </w:r>
    </w:p>
    <w:p>
      <w:pPr>
        <w:numPr>
          <w:ilvl w:val="0"/>
          <w:numId w:val="1002"/>
        </w:numPr>
        <w:pStyle w:val="Compact"/>
      </w:pPr>
      <w:r>
        <w:rPr>
          <w:bCs/>
          <w:b/>
        </w:rPr>
        <w:t xml:space="preserve">Technology Integration:</w:t>
      </w:r>
      <w:r>
        <w:t xml:space="preserve"> </w:t>
      </w:r>
      <w:r>
        <w:t xml:space="preserve">Leveraging Beijing’s fintech ecosystem by co-developing digital solutions with local partners (e.g., AI-driven credit scoring for SMEs using Beijing's municipal data initiatives).</w:t>
      </w:r>
    </w:p>
    <w:p>
      <w:pPr>
        <w:pStyle w:val="FirstParagraph"/>
      </w:pPr>
      <w:r>
        <w:t xml:space="preserve">One standout initiative was the 'Beijing Innovation Capital Program,' where Banker teams partnered with the Beijing Science and Technology Commission to offer preferential financing to R&amp;D-focused enterprises. This directly contributed to securing 28 new enterprise clients in Q3, including several AI and clean energy firms headquartered in Beijing.</w:t>
      </w:r>
    </w:p>
    <w:bookmarkEnd w:id="23"/>
    <w:bookmarkStart w:id="24" w:name="challenges-adaptive-strategies"/>
    <w:p>
      <w:pPr>
        <w:pStyle w:val="Heading2"/>
      </w:pPr>
      <w:r>
        <w:t xml:space="preserve">Challenges &amp; Adaptive Strategies</w:t>
      </w:r>
    </w:p>
    <w:p>
      <w:pPr>
        <w:pStyle w:val="FirstParagraph"/>
      </w:pPr>
      <w:r>
        <w:t xml:space="preserve">Navigating the China Beijing market presented unique hurdles. Regulatory shifts from the State Administration of Foreign Exchange (SAFE) required immediate adaptation, particularly impacting cross-border transactions for our international clients based in Beijing. The Banker teams responded by developing a real-time regulatory alert system integrated with local legal counsel, reducing transaction processing time by 40% and preventing potential client friction. Additionally, heightened competition from domestic digital banks necessitated a renewed focus on personalized service – the Banker’s ability to deliver human-centric solutions amidst digital proliferation became our key differentiator.</w:t>
      </w:r>
    </w:p>
    <w:bookmarkEnd w:id="24"/>
    <w:bookmarkStart w:id="25" w:name="client-feedback-the-beijing-perspective"/>
    <w:p>
      <w:pPr>
        <w:pStyle w:val="Heading2"/>
      </w:pPr>
      <w:r>
        <w:t xml:space="preserve">Client Feedback: The Beijing Perspective</w:t>
      </w:r>
    </w:p>
    <w:p>
      <w:pPr>
        <w:pStyle w:val="FirstParagraph"/>
      </w:pPr>
      <w:r>
        <w:t xml:space="preserve">Direct client feedback collected across 185 Beijing-based accounts validated the effectiveness of our Banker-led approach. A prominent manufacturing SOE stated: 'The Banker didn’t just offer a loan; they understood our supply chain challenges in China’s new industrial parks and structured financing to support our expansion into the BRI market.' This sentiment was echoed by 78% of surveyed clients, highlighting how the Banker’s contextual knowledge directly translated to perceived value.</w:t>
      </w:r>
    </w:p>
    <w:bookmarkEnd w:id="25"/>
    <w:bookmarkStart w:id="26" w:name="outlook-sustaining-momentum-in-beijing"/>
    <w:p>
      <w:pPr>
        <w:pStyle w:val="Heading2"/>
      </w:pPr>
      <w:r>
        <w:t xml:space="preserve">Outlook: Sustaining Momentum in Beijing</w:t>
      </w:r>
    </w:p>
    <w:p>
      <w:pPr>
        <w:pStyle w:val="FirstParagraph"/>
      </w:pPr>
      <w:r>
        <w:t xml:space="preserve">For Q4 2023 and beyond, our Sales Strategy for China Beijing will double down on three pillars:</w:t>
      </w:r>
    </w:p>
    <w:p>
      <w:pPr>
        <w:numPr>
          <w:ilvl w:val="0"/>
          <w:numId w:val="1003"/>
        </w:numPr>
        <w:pStyle w:val="Compact"/>
      </w:pPr>
      <w:r>
        <w:rPr>
          <w:bCs/>
          <w:b/>
        </w:rPr>
        <w:t xml:space="preserve">Deepening BRI Engagement:</w:t>
      </w:r>
      <w:r>
        <w:t xml:space="preserve"> </w:t>
      </w:r>
      <w:r>
        <w:t xml:space="preserve">Establishing a dedicated BRI advisory unit within the Beijing branch to serve clients participating in infrastructure projects across Asia.</w:t>
      </w:r>
    </w:p>
    <w:p>
      <w:pPr>
        <w:numPr>
          <w:ilvl w:val="0"/>
          <w:numId w:val="1003"/>
        </w:numPr>
        <w:pStyle w:val="Compact"/>
      </w:pPr>
      <w:r>
        <w:rPr>
          <w:bCs/>
          <w:b/>
        </w:rPr>
        <w:t xml:space="preserve">Prioritizing Green Finance:</w:t>
      </w:r>
      <w:r>
        <w:t xml:space="preserve"> </w:t>
      </w:r>
      <w:r>
        <w:t xml:space="preserve">Launching a specialized $500M green loan product for Beijing-based firms committed to energy efficiency, aligning with China’s dual-carbon policy.</w:t>
      </w:r>
    </w:p>
    <w:p>
      <w:pPr>
        <w:numPr>
          <w:ilvl w:val="0"/>
          <w:numId w:val="1003"/>
        </w:numPr>
        <w:pStyle w:val="Compact"/>
      </w:pPr>
      <w:r>
        <w:rPr>
          <w:bCs/>
          <w:b/>
        </w:rPr>
        <w:t xml:space="preserve">Banker Upskilling:</w:t>
      </w:r>
      <w:r>
        <w:t xml:space="preserve"> </w:t>
      </w:r>
      <w:r>
        <w:t xml:space="preserve">Implementing advanced training in Beijing-specific economic forecasting tools to empower Bankers as true market intelligence partners.</w:t>
      </w:r>
    </w:p>
    <w:p>
      <w:pPr>
        <w:pStyle w:val="FirstParagraph"/>
      </w:pPr>
      <w:r>
        <w:t xml:space="preserve">The continued success of our Sales Report in China Beijing hinges on the Banker’s ability to evolve alongside the city’s economic trajectory. As Beijing accelerates its role as a global financial hub and innovation leader, our Banker teams must remain at the forefront – not just adapting to change, but actively shaping solutions that drive mutual growth for clients and our institution within this pivotal market.</w:t>
      </w:r>
    </w:p>
    <w:bookmarkEnd w:id="26"/>
    <w:bookmarkStart w:id="27" w:name="conclusion"/>
    <w:p>
      <w:pPr>
        <w:pStyle w:val="Heading2"/>
      </w:pPr>
      <w:r>
        <w:t xml:space="preserve">Conclusion</w:t>
      </w:r>
    </w:p>
    <w:p>
      <w:pPr>
        <w:pStyle w:val="FirstParagraph"/>
      </w:pPr>
      <w:r>
        <w:t xml:space="preserve">The Q3 2023 Sales Report for China Beijing unequivocally demonstrates that strategic client understanding, deeply embedded local expertise, and the proactive role of the Banker are non-negotiables for success in this elite financial market. Our results reflect not just transactional success but a fundamental shift toward being an indispensable partner within Beijing’s economic ecosystem. As we enter Q4, the commitment to maintaining this Banker-centric approach will be paramount in securing our leadership position in China’s most influential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Beijing Sales Performance Report: Strategic Insights for Banking Excellence</dc:title>
  <dc:creator/>
  <dc:language>en</dc:language>
  <cp:keywords/>
  <dcterms:created xsi:type="dcterms:W3CDTF">2026-07-21T11:03:31Z</dcterms:created>
  <dcterms:modified xsi:type="dcterms:W3CDTF">2026-07-21T11:03:31Z</dcterms:modified>
</cp:coreProperties>
</file>

<file path=docProps/custom.xml><?xml version="1.0" encoding="utf-8"?>
<Properties xmlns="http://schemas.openxmlformats.org/officeDocument/2006/custom-properties" xmlns:vt="http://schemas.openxmlformats.org/officeDocument/2006/docPropsVTypes"/>
</file>