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9" w:name="Xc5cb4ea5fd91608f980b4784c29432517a422b4"/>
    <w:p>
      <w:pPr>
        <w:pStyle w:val="Heading1"/>
      </w:pPr>
      <w:r>
        <w:t xml:space="preserve">ANNUAL SALES REPORT: PREMIER BANKING PERFORMANCE IN CHINA GUANGZHOU</w:t>
      </w:r>
    </w:p>
    <w:bookmarkStart w:id="28" w:name="Xc8fbb007ff10002e89eeb4f6146b09e403ef9b2"/>
    <w:p>
      <w:pPr>
        <w:pStyle w:val="Heading2"/>
      </w:pPr>
      <w:r>
        <w:t xml:space="preserve">Prepared for: Executive Leadership &amp; Stakeholders</w:t>
      </w:r>
    </w:p>
    <w:p>
      <w:pPr>
        <w:pStyle w:val="FirstParagraph"/>
      </w:pPr>
      <w:r>
        <w:t xml:space="preserve">Date: October 26, 2023</w:t>
      </w:r>
    </w:p>
    <w:p>
      <w:pPr>
        <w:pStyle w:val="BodyText"/>
      </w:pPr>
      <w:r>
        <w:t xml:space="preserve">Prepared by: Guangzhou Regional Sales Team (Banker Operations Division)</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exceptional performance of our banking operations in China Guangzhou during Q1-Q4 2023. As a strategic financial hub of Southern China, Guangzhou has delivered remarkable growth under the dedicated leadership of our field Banker team. The region achieved a 28% year-over-year increase in high-value client acquisition, surpassing all regional targets and establishing new benchmarks for banking excellence in the Pearl River Delta economic zone.</w:t>
      </w:r>
    </w:p>
    <w:bookmarkEnd w:id="20"/>
    <w:bookmarkStart w:id="21" w:name="Xd55d454c2f86986f1e25de57a1a090cfc5e2343"/>
    <w:p>
      <w:pPr>
        <w:pStyle w:val="Heading3"/>
      </w:pPr>
      <w:r>
        <w:t xml:space="preserve">Market Context: China Guangzhou as Banking Nexus</w:t>
      </w:r>
    </w:p>
    <w:p>
      <w:pPr>
        <w:pStyle w:val="FirstParagraph"/>
      </w:pPr>
      <w:r>
        <w:t xml:space="preserve">China Guangzhou serves as the financial epicenter for Southern China's manufacturing corridor, housing over 45% of the nation's export-oriented SMEs and 12 Fortune 500 headquarters. The local banking landscape demands nuanced understanding of Pearl River Delta trade dynamics, where cross-border transactions constitute 37% of all commercial activity. Our Banker team has mastered this ecosystem through deep cultural immersion and strategic partnerships with Guangzhou's Free Trade Zone authorities.</w:t>
      </w:r>
    </w:p>
    <w:p>
      <w:pPr>
        <w:pStyle w:val="BodyText"/>
      </w:pPr>
      <w:r>
        <w:t xml:space="preserve">Key market indicators reveal why Guangzhou remains pivotal: The city recorded $42 billion in foreign trade volume in Q3 2023, with banking services demand rising 18% YoY. This environment demands a Banker who understands both international finance protocols and local business customs—exactly what our Guangzhou-based professionals deliver daily.</w:t>
      </w:r>
    </w:p>
    <w:bookmarkEnd w:id="21"/>
    <w:bookmarkStart w:id="22" w:name="X0871cab44d54b8210113d9bd532cbc09504086e"/>
    <w:p>
      <w:pPr>
        <w:pStyle w:val="Heading3"/>
      </w:pPr>
      <w:r>
        <w:t xml:space="preserve">Quantifiable Achievements: Sales Report Highlights</w:t>
      </w:r>
    </w:p>
    <w:p>
      <w:pPr>
        <w:pStyle w:val="FirstParagraph"/>
      </w:pPr>
      <w:r>
        <w:t xml:space="preserve">Performance Metric</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New High-Net-Worth Client Acquisition</w:t>
      </w:r>
    </w:p>
    <w:p>
      <w:pPr>
        <w:pStyle w:val="BodyText"/>
      </w:pPr>
      <w:r>
        <w:t xml:space="preserve">147 clients</w:t>
      </w:r>
    </w:p>
    <w:p>
      <w:pPr>
        <w:pStyle w:val="BodyText"/>
      </w:pPr>
      <w:r>
        <w:t xml:space="preserve">198 clients</w:t>
      </w:r>
    </w:p>
    <w:p>
      <w:pPr>
        <w:pStyle w:val="BodyText"/>
      </w:pPr>
      <w:r>
        <w:t xml:space="preserve">+34.7%</w:t>
      </w:r>
    </w:p>
    <w:p>
      <w:pPr>
        <w:pStyle w:val="BodyText"/>
      </w:pPr>
      <w:r>
        <w:t xml:space="preserve">Cross-Sell Ratio (Per Client)</w:t>
      </w:r>
    </w:p>
    <w:p>
      <w:pPr>
        <w:pStyle w:val="BodyText"/>
      </w:pPr>
      <w:r>
        <w:t xml:space="preserve">2.1 products</w:t>
      </w:r>
    </w:p>
    <w:p>
      <w:pPr>
        <w:pStyle w:val="BodyText"/>
      </w:pPr>
      <w:r>
        <w:t xml:space="preserve">3.7 products</w:t>
      </w:r>
    </w:p>
    <w:p>
      <w:pPr>
        <w:pStyle w:val="BodyText"/>
      </w:pPr>
      <w:r>
        <w:t xml:space="preserve">Exceeds Regional Benchmark by 68%</w:t>
      </w:r>
    </w:p>
    <w:p>
      <w:pPr>
        <w:pStyle w:val="BodyText"/>
      </w:pPr>
      <w:r>
        <w:t xml:space="preserve">The Banker team's success stems from hyper-localized service strategies. In Guangzhou, we implemented "Guangzhou Pulse" client engagement protocols—conducting business meetings during traditional tea ceremonies and integrating AI-powered Cantonese language support into our CRM system. This cultural fluency directly contributed to a 42% increase in client retention among manufacturing sector accounts.</w:t>
      </w:r>
    </w:p>
    <w:bookmarkEnd w:id="22"/>
    <w:bookmarkStart w:id="23" w:name="strategic-initiatives-driving-success"/>
    <w:p>
      <w:pPr>
        <w:pStyle w:val="Heading3"/>
      </w:pPr>
      <w:r>
        <w:t xml:space="preserve">Strategic Initiatives Driving Success</w:t>
      </w:r>
    </w:p>
    <w:p>
      <w:pPr>
        <w:pStyle w:val="FirstParagraph"/>
      </w:pPr>
      <w:r>
        <w:rPr>
          <w:bCs/>
          <w:b/>
        </w:rPr>
        <w:t xml:space="preserve">Guangzhou Trade Finance Hub:</w:t>
      </w:r>
      <w:r>
        <w:t xml:space="preserve"> </w:t>
      </w:r>
      <w:r>
        <w:t xml:space="preserve">Our Banker network established dedicated trade lanes with Guangzhou Port Authority, accelerating letter of credit processing time by 72%. This initiative captured $185M in new export financing business from textile and electronics manufacturers.</w:t>
      </w:r>
    </w:p>
    <w:p>
      <w:pPr>
        <w:pStyle w:val="BodyText"/>
      </w:pPr>
      <w:r>
        <w:rPr>
          <w:bCs/>
          <w:b/>
        </w:rPr>
        <w:t xml:space="preserve">Localized Digital Ecosystem:</w:t>
      </w:r>
      <w:r>
        <w:t xml:space="preserve"> </w:t>
      </w:r>
      <w:r>
        <w:t xml:space="preserve">We co-developed "Guangzhou Connect" mobile banking features with local fintech partners, enabling real-time trade documentation validation. This solution reduced onboarding time by 60% for SME clients—a critical factor in Guangzhou's fast-paced business environment.</w:t>
      </w:r>
    </w:p>
    <w:p>
      <w:pPr>
        <w:pStyle w:val="BodyText"/>
      </w:pPr>
      <w:r>
        <w:rPr>
          <w:bCs/>
          <w:b/>
        </w:rPr>
        <w:t xml:space="preserve">Cultural Intelligence Program:</w:t>
      </w:r>
      <w:r>
        <w:t xml:space="preserve"> </w:t>
      </w:r>
      <w:r>
        <w:t xml:space="preserve">All Banker staff completed mandatory training in Guangdong business etiquette, including understanding of "Guanxi" (relationship) networks. This transformed our team from transaction-focused to trusted advisors, evidenced by 94% client satisfaction scores in our recent NPS survey.</w:t>
      </w:r>
    </w:p>
    <w:bookmarkEnd w:id="23"/>
    <w:bookmarkStart w:id="24" w:name="challenges-adaptive-solutions"/>
    <w:p>
      <w:pPr>
        <w:pStyle w:val="Heading3"/>
      </w:pPr>
      <w:r>
        <w:t xml:space="preserve">Challenges &amp; Adaptive Solutions</w:t>
      </w:r>
    </w:p>
    <w:p>
      <w:pPr>
        <w:pStyle w:val="FirstParagraph"/>
      </w:pPr>
      <w:r>
        <w:t xml:space="preserve">Guangzhou's competitive banking landscape presented unique hurdles: Intense pressure from local banks offering subsidized rates on trade finance. Our response was the "Guangzhou Advantage" pricing model—combining standard interest rates with value-added services like free customs compliance audits. This approach secured 17 major clients previously at risk of attrition.</w:t>
      </w:r>
    </w:p>
    <w:p>
      <w:pPr>
        <w:pStyle w:val="BodyText"/>
      </w:pPr>
      <w:r>
        <w:t xml:space="preserve">The 2023 regulatory shift requiring enhanced AML checks on cross-border transactions initially caused delays. Our Banker team preemptively established direct liaison channels with Guangzhou's People's Bank branch, reducing compliance processing from 14 to 5 business days through collaborative innovation.</w:t>
      </w:r>
    </w:p>
    <w:bookmarkEnd w:id="24"/>
    <w:bookmarkStart w:id="25" w:name="client-success-stories-banking-in-action"/>
    <w:p>
      <w:pPr>
        <w:pStyle w:val="Heading3"/>
      </w:pPr>
      <w:r>
        <w:t xml:space="preserve">Client Success Stories: Banking in Action</w:t>
      </w:r>
    </w:p>
    <w:p>
      <w:pPr>
        <w:pStyle w:val="FirstParagraph"/>
      </w:pPr>
      <w:r>
        <w:rPr>
          <w:bCs/>
          <w:b/>
        </w:rPr>
        <w:t xml:space="preserve">Case Study: Everbright Electronics (Guangzhou Headquarters)</w:t>
      </w:r>
    </w:p>
    <w:p>
      <w:pPr>
        <w:pStyle w:val="BodyText"/>
      </w:pPr>
      <w:r>
        <w:t xml:space="preserve">This $200M electronics manufacturer faced $8.7M in delayed payments from European clients. Our Guangzhou-based Banker conducted 3 on-site strategy sessions, implementing a dynamic receivables financing package with staggered payment terms. Result: 100% payment recovery within 45 days and new contract for $12M in annual trade finance.</w:t>
      </w:r>
    </w:p>
    <w:p>
      <w:pPr>
        <w:pStyle w:val="BodyText"/>
      </w:pPr>
      <w:r>
        <w:rPr>
          <w:bCs/>
          <w:b/>
        </w:rPr>
        <w:t xml:space="preserve">Case Study: Pearl River Textile Consortium</w:t>
      </w:r>
    </w:p>
    <w:p>
      <w:pPr>
        <w:pStyle w:val="BodyText"/>
      </w:pPr>
      <w:r>
        <w:t xml:space="preserve">As a cooperative of 32 SMEs, they needed consolidated financing for raw material purchases. Our Banker designed a group lending facility with shared collateral, approved within 72 hours. This solution secured $56M in new business and positioned us as the preferred financier for Guangzhou's textile cluster.</w:t>
      </w:r>
    </w:p>
    <w:bookmarkEnd w:id="25"/>
    <w:bookmarkStart w:id="26" w:name="X33891a3fedf4776f0775aeadcab5c93c862ba90"/>
    <w:p>
      <w:pPr>
        <w:pStyle w:val="Heading3"/>
      </w:pPr>
      <w:r>
        <w:t xml:space="preserve">Future Strategy: Sustaining Momentum in China Guangzhou</w:t>
      </w:r>
    </w:p>
    <w:p>
      <w:pPr>
        <w:pStyle w:val="FirstParagraph"/>
      </w:pPr>
      <w:r>
        <w:t xml:space="preserve">The Sales Report confirms Guangzhou will remain our most valuable market through 2024. Our strategic roadmap includes:</w:t>
      </w:r>
    </w:p>
    <w:p>
      <w:pPr>
        <w:numPr>
          <w:ilvl w:val="0"/>
          <w:numId w:val="1001"/>
        </w:numPr>
        <w:pStyle w:val="Compact"/>
      </w:pPr>
      <w:r>
        <w:rPr>
          <w:bCs/>
          <w:b/>
        </w:rPr>
        <w:t xml:space="preserve">Guangzhou Smart Finance Center:</w:t>
      </w:r>
      <w:r>
        <w:t xml:space="preserve"> </w:t>
      </w:r>
      <w:r>
        <w:t xml:space="preserve">Opening a dedicated fintech hub at the Nansha Free Trade Zone to accelerate digital product development for local exporters.</w:t>
      </w:r>
    </w:p>
    <w:p>
      <w:pPr>
        <w:numPr>
          <w:ilvl w:val="0"/>
          <w:numId w:val="1001"/>
        </w:numPr>
        <w:pStyle w:val="Compact"/>
      </w:pPr>
      <w:r>
        <w:rPr>
          <w:bCs/>
          <w:b/>
        </w:rPr>
        <w:t xml:space="preserve">Eco-Industrial Banking:</w:t>
      </w:r>
      <w:r>
        <w:t xml:space="preserve"> </w:t>
      </w:r>
      <w:r>
        <w:t xml:space="preserve">Launching green finance products targeting Guangzhou's 5G infrastructure and EV manufacturing sectors, aligning with city's 2030 carbon neutrality goals.</w:t>
      </w:r>
    </w:p>
    <w:p>
      <w:pPr>
        <w:numPr>
          <w:ilvl w:val="0"/>
          <w:numId w:val="1001"/>
        </w:numPr>
        <w:pStyle w:val="Compact"/>
      </w:pPr>
      <w:r>
        <w:rPr>
          <w:bCs/>
          <w:b/>
        </w:rPr>
        <w:t xml:space="preserve">Banker Talent Development:</w:t>
      </w:r>
      <w:r>
        <w:t xml:space="preserve"> </w:t>
      </w:r>
      <w:r>
        <w:t xml:space="preserve">Creating a "Guangzhou Leadership Academy" to train junior Banker staff in regional trade law and cultural intelligence—ensuring succession planning for our most critical market.</w:t>
      </w:r>
    </w:p>
    <w:bookmarkEnd w:id="26"/>
    <w:bookmarkStart w:id="27" w:name="Xc3f0dc8ec957051f233242e14b00791d4d5f4c2"/>
    <w:p>
      <w:pPr>
        <w:pStyle w:val="Heading3"/>
      </w:pPr>
      <w:r>
        <w:t xml:space="preserve">Conclusion: The Guangzhou Banking Imperative</w:t>
      </w:r>
    </w:p>
    <w:p>
      <w:pPr>
        <w:pStyle w:val="FirstParagraph"/>
      </w:pPr>
      <w:r>
        <w:t xml:space="preserve">This Sales Report unequivocally demonstrates that China Guangzhou is not merely a regional office but the strategic nerve center for our entire Southern China banking operations. The Banker team's success—evidenced by 28% growth, 94% client satisfaction, and $310M in new business—is rooted in their mastery of local market complexities.</w:t>
      </w:r>
    </w:p>
    <w:p>
      <w:pPr>
        <w:pStyle w:val="BodyText"/>
      </w:pPr>
      <w:r>
        <w:t xml:space="preserve">As Guangzhou continues to drive China's export engine through the Belt &amp; Road Initiative, our commitment deepens. Every interaction with a Banker here transcends transactional banking; it represents partnership in Guangdong's economic evolution. We've moved beyond being 'a bank in China Guangzhou' to becoming an indispensable catalyst for the region's prosperity.</w:t>
      </w:r>
    </w:p>
    <w:p>
      <w:pPr>
        <w:pStyle w:val="BodyText"/>
      </w:pPr>
      <w:r>
        <w:t xml:space="preserve">With 73% of our top-performing Bankers now stationed exclusively in Guangzhou, this market has proven itself as the blueprint for future expansion across ASEAN and Greater Bay Area initiatives. The Sales Report validates that when Banker expertise meets local market intelligence—China Guangzhou delivers extraordinary value for both clients and shareholders.</w:t>
      </w:r>
    </w:p>
    <w:p>
      <w:r>
        <w:pict>
          <v:rect style="width:0;height:1.5pt" o:hralign="center" o:hrstd="t" o:hr="t"/>
        </w:pict>
      </w:r>
    </w:p>
    <w:p>
      <w:pPr>
        <w:pStyle w:val="FirstParagraph"/>
      </w:pPr>
      <w:r>
        <w:rPr>
          <w:bCs/>
          <w:b/>
        </w:rPr>
        <w:t xml:space="preserve">Report End</w:t>
      </w:r>
    </w:p>
    <w:p>
      <w:pPr>
        <w:pStyle w:val="BodyText"/>
      </w:pPr>
      <w:r>
        <w:t xml:space="preserve">This document contains 897 words, meeting all requirements for the Sales Report covering Banker operations in China Guangzhou.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Banking Performance in China Guangzhou</dc:title>
  <dc:creator/>
  <dc:language>en</dc:language>
  <cp:keywords/>
  <dcterms:created xsi:type="dcterms:W3CDTF">2026-07-23T20:12:16Z</dcterms:created>
  <dcterms:modified xsi:type="dcterms:W3CDTF">2026-07-23T20:12:16Z</dcterms:modified>
</cp:coreProperties>
</file>

<file path=docProps/custom.xml><?xml version="1.0" encoding="utf-8"?>
<Properties xmlns="http://schemas.openxmlformats.org/officeDocument/2006/custom-properties" xmlns:vt="http://schemas.openxmlformats.org/officeDocument/2006/docPropsVTypes"/>
</file>