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Banking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9" w:name="Xef9119b2d0393d500d5164fc619258ad9830fdb"/>
    <w:p>
      <w:pPr>
        <w:pStyle w:val="Heading1"/>
      </w:pPr>
      <w:r>
        <w:t xml:space="preserve">Q3 2023 Sales Report for Senior Banking Executive | China Shanghai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trajectory of our banking operations within the dynamic financial ecosystem of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, specifically evaluating the strategic contributions of our dedicated Banking team. As a pivotal global financial hub and economic engine for mainland China, Shanghai demands exceptional client-centric execution from every</w:t>
      </w:r>
      <w:r>
        <w:t xml:space="preserve"> </w:t>
      </w:r>
      <w:r>
        <w:rPr>
          <w:bCs/>
          <w:b/>
        </w:rPr>
        <w:t xml:space="preserve">Banker</w:t>
      </w:r>
      <w:r>
        <w:t xml:space="preserve">. This report synthesizes Q3 2023 metrics, market insights, and actionable strategies critical to sustaining our competitive edge in this high-stakes marketplace.</w:t>
      </w:r>
    </w:p>
    <w:bookmarkStart w:id="20" w:name="Xaa7a24fe83c15e68895ccd18c13e827905a473d"/>
    <w:p>
      <w:pPr>
        <w:pStyle w:val="Heading2"/>
      </w:pPr>
      <w:r>
        <w:t xml:space="preserve">Executive Summary: Market Positioning in China Shanghai</w:t>
      </w:r>
    </w:p>
    <w:p>
      <w:pPr>
        <w:pStyle w:val="FirstParagraph"/>
      </w:pPr>
      <w:r>
        <w:t xml:space="preserve">The Shanghai banking landscape continues to evolve rapidly, driven by the city's status as Asia's premier financial center and its role as a testing ground for China's fintech innovations. Our Q3 performance demonstrates robust growth across all key segments, with a 14.7% year-over-year increase in client acquisition and a 9.2% rise in cross-sold products within the Shanghai market. This success is directly attributable to our</w:t>
      </w:r>
      <w:r>
        <w:t xml:space="preserve"> </w:t>
      </w:r>
      <w:r>
        <w:rPr>
          <w:bCs/>
          <w:b/>
        </w:rPr>
        <w:t xml:space="preserve">Banker</w:t>
      </w:r>
      <w:r>
        <w:t xml:space="preserve">'s deep understanding of local regulatory frameworks and cultural nuances—essential for navigating China's unique financial environment.</w:t>
      </w:r>
    </w:p>
    <w:p>
      <w:pPr>
        <w:pStyle w:val="BodyText"/>
      </w:pPr>
      <w:r>
        <w:t xml:space="preserve">"In China Shanghai, a successful Banker doesn't just sell products—they build trust through localized relationship management. Our Q3 results reflect this philosophy, with 78% of new corporate clients acquired through strategic partnerships within the Lujiazui Financial District."</w:t>
      </w:r>
    </w:p>
    <w:bookmarkEnd w:id="20"/>
    <w:bookmarkStart w:id="24" w:name="X05939765791e539a08884f3ff2ac247c76d429e"/>
    <w:p>
      <w:pPr>
        <w:pStyle w:val="Heading2"/>
      </w:pPr>
      <w:r>
        <w:t xml:space="preserve">Performance Metrics: Shanghai-Specific Sales Analysis</w:t>
      </w:r>
    </w:p>
    <w:p>
      <w:pPr>
        <w:pStyle w:val="FirstParagraph"/>
      </w:pPr>
      <w:r>
        <w:t xml:space="preserve">Our Shanghai operations reported exceptional performance in three critical areas:</w:t>
      </w:r>
    </w:p>
    <w:bookmarkStart w:id="21" w:name="Xf4b89c0950d650d61af6eb5e31048ff48e282b3"/>
    <w:p>
      <w:pPr>
        <w:pStyle w:val="Heading3"/>
      </w:pPr>
      <w:r>
        <w:t xml:space="preserve">1. Corporate Banking &amp; Investment Solutions (35% of Revenue)</w:t>
      </w:r>
    </w:p>
    <w:p>
      <w:pPr>
        <w:pStyle w:val="FirstParagraph"/>
      </w:pPr>
      <w:r>
        <w:t xml:space="preserve">Achieved 18.4% YoY growth through tailored solutions for Fortune 500 subsidiaries operating from Shanghai headquarters. The Banker team secured three major syndicated loans totaling $285M for technology firms in Zhangjiang Science City, leveraging our understanding of China's "dual circulation" economic strategy. Notably, 92% of these clients expanded services within Q3—a testament to relationship depth.</w:t>
      </w:r>
    </w:p>
    <w:bookmarkEnd w:id="21"/>
    <w:bookmarkStart w:id="22" w:name="Xff8e85d3d64d8561c5bf3deda2e1affc03537d1"/>
    <w:p>
      <w:pPr>
        <w:pStyle w:val="Heading3"/>
      </w:pPr>
      <w:r>
        <w:t xml:space="preserve">2. Wealth Management for High-Net-Worth Individuals (40% of Revenue)</w:t>
      </w:r>
    </w:p>
    <w:p>
      <w:pPr>
        <w:pStyle w:val="FirstParagraph"/>
      </w:pPr>
      <w:r>
        <w:t xml:space="preserve">Shanghai's affluent market drove a 21.6% surge in assets under management (AUM). The Banker team pioneered an AI-enhanced client onboarding system compliant with China's Financial Data Security Regulations, reducing processing time by 65%. This initiative captured 47 new ultra-HNWI clients from the Pudong CBD—representing a 300% increase from Q2.</w:t>
      </w:r>
    </w:p>
    <w:bookmarkEnd w:id="22"/>
    <w:bookmarkStart w:id="23" w:name="sme-retail-banking-25-of-revenue"/>
    <w:p>
      <w:pPr>
        <w:pStyle w:val="Heading3"/>
      </w:pPr>
      <w:r>
        <w:t xml:space="preserve">3. SME &amp; Retail Banking (25% of Revenue)</w:t>
      </w:r>
    </w:p>
    <w:p>
      <w:pPr>
        <w:pStyle w:val="FirstParagraph"/>
      </w:pPr>
      <w:r>
        <w:t xml:space="preserve">Despite sector-wide challenges, Shanghai's retail segment grew by 8.9% through digital-first solutions like our "Shanghai Connect" mobile platform. Bankers deployed localized marketing strategies targeting the burgeoning entrepreneurship scene in Xuhui District, driving a 17% increase in small business loan applications.</w:t>
      </w:r>
    </w:p>
    <w:bookmarkEnd w:id="23"/>
    <w:bookmarkEnd w:id="24"/>
    <w:bookmarkStart w:id="25" w:name="Xf4b10b3fa8fe50eeec7b114d2b86bf3865fe24e"/>
    <w:p>
      <w:pPr>
        <w:pStyle w:val="Heading2"/>
      </w:pPr>
      <w:r>
        <w:t xml:space="preserve">Market Insights: China Shanghai's Evolving Banking Dynamics</w:t>
      </w:r>
    </w:p>
    <w:p>
      <w:pPr>
        <w:pStyle w:val="FirstParagraph"/>
      </w:pPr>
      <w:r>
        <w:t xml:space="preserve">Our analysis reveals three pivotal trends shaping sales opportunities: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Fintech Integration:</w:t>
      </w:r>
      <w:r>
        <w:t xml:space="preserve"> </w:t>
      </w:r>
      <w:r>
        <w:t xml:space="preserve">73% of Shanghai clients now expect seamless digital banking experiences. Our Bankers are embedding tools like WeChat mini-programs into client consultations—a critical differentiator in a market where 89% of transactions occur via mobile.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The recent China Banking and Insurance Regulatory Commission (CBIRC) guidelines on ESG lending directly impacted our Shanghai portfolio. Bankers proactively restructured $120M in green energy loans to meet new standards, turning regulatory compliance into a competitive advantage.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 China Shanghai, relationship depth (guanxi) remains paramount. Our Bankers' participation in local events like the Shanghai International Financial Forum increased client retention by 22% compared to non-engaged peers.</w:t>
      </w:r>
    </w:p>
    <w:bookmarkEnd w:id="25"/>
    <w:bookmarkStart w:id="26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strong results, two challenges emerged requiring immediate Banker intervention: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Intense Competition:</w:t>
      </w:r>
      <w:r>
        <w:t xml:space="preserve"> </w:t>
      </w:r>
      <w:r>
        <w:t xml:space="preserve">New entrants from Singapore and Hong Kong reduced pricing power in commercial lending. Solution: Our Shanghai Bankers implemented value-based pricing models emphasizing long-term partnership over transactional fees—a strategy adopted by 67% of our corporate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China's evolving digital currency (e-CNY) framework initially caused client hesitation. Bankers co-created e-CNY integration workshops with the Shanghai Central Bank, converting 89% of hesitant clients into adopters within two months.</w:t>
      </w:r>
    </w:p>
    <w:p>
      <w:pPr>
        <w:pStyle w:val="FirstParagraph"/>
      </w:pPr>
      <w:r>
        <w:t xml:space="preserve">"This Sales Report underscores that in China Shanghai, a Banker's value isn't measured solely by quarterly targets but by their ability to translate global banking standards into culturally resonant local solutions. Our Q3 success proves this approach."</w:t>
      </w:r>
    </w:p>
    <w:bookmarkEnd w:id="26"/>
    <w:bookmarkStart w:id="27" w:name="X84d80b2ff140b3b8465d24e40c32ab1f3489e86"/>
    <w:p>
      <w:pPr>
        <w:pStyle w:val="Heading2"/>
      </w:pPr>
      <w:r>
        <w:t xml:space="preserve">Q4 Strategic Focus: Building on Shanghai's Momentum</w:t>
      </w:r>
    </w:p>
    <w:p>
      <w:pPr>
        <w:pStyle w:val="FirstParagraph"/>
      </w:pPr>
      <w:r>
        <w:t xml:space="preserve">Our strategy for Q4 centers on three pillars directly tied to China Shanghai's growth trajectory: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Lujiazui Integration:</w:t>
      </w:r>
      <w:r>
        <w:t xml:space="preserve"> </w:t>
      </w:r>
      <w:r>
        <w:t xml:space="preserve">Targeting 30% market share in the district's $1.2B annual fintech investment pipeline through dedicated banker teams embedded with local innovation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Pioneering ESG Banking:</w:t>
      </w:r>
      <w:r>
        <w:t xml:space="preserve"> </w:t>
      </w:r>
      <w:r>
        <w:t xml:space="preserve">Launching Shanghai-specific green bonds for manufacturing clusters, aligning with the city's 2035 carbon neutrality goals—anticipated to drive $400M in new business.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Implementing a "Shanghai Cultural Immersion" program for new Bankers, covering dialect nuances and local business etiquette to accelerate relationship-building.</w:t>
      </w:r>
    </w:p>
    <w:bookmarkEnd w:id="27"/>
    <w:bookmarkStart w:id="28" w:name="X4d2eeb184583cebd009819321ebbdc6e6a66219"/>
    <w:p>
      <w:pPr>
        <w:pStyle w:val="Heading2"/>
      </w:pPr>
      <w:r>
        <w:t xml:space="preserve">Conclusion: The Banker as Shanghai's Financial Catalyst</w:t>
      </w:r>
    </w:p>
    <w:p>
      <w:pPr>
        <w:pStyle w:val="FirstParagraph"/>
      </w:pPr>
      <w:r>
        <w:t xml:space="preserve">The Q3 Sales Report unequivocally demonstrates that our Banking team in China Shanghai isn't merely meeting targets—they're architecting solutions for a market where 40% of global cross-border capital flows through the city. Every success metric—from the record-breaking SME loan volume to the ESG product adoption rate—stems from Bankers who understand that Shanghai's financial ecosystem demands more than transactional expertise; it requires cultural intelligence, regulatory agility, and unwavering client commitment.</w:t>
      </w:r>
    </w:p>
    <w:p>
      <w:pPr>
        <w:pStyle w:val="BodyText"/>
      </w:pPr>
      <w:r>
        <w:t xml:space="preserve">As we move into Q4, our focus remains laser-sharp on empowering every Banker to become an indispensable partner within Shanghai's economic fabric. This Sales Report isn't just a performance summary—it's a blueprint for how banking excellence manifests in China's most dynamic financial frontier. The results prove that when Bankers master the nuances of China Shanghai, they don't just drive sales; they shape the city's financial future.</w:t>
      </w:r>
    </w:p>
    <w:p>
      <w:pPr>
        <w:pStyle w:val="BodyText"/>
      </w:pPr>
      <w:r>
        <w:t xml:space="preserve">Prepared by: Global Banking Intelligence Unit | Confidential &amp; Proprietary | Q3 2023 Sales Report</w:t>
      </w:r>
    </w:p>
    <w:p>
      <w:pPr>
        <w:pStyle w:val="BodyText"/>
      </w:pPr>
      <w:r>
        <w:t xml:space="preserve">End of Document (Word Count: 857)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Banking Performance in China Shanghai</dc:title>
  <dc:creator/>
  <dc:language>en</dc:language>
  <cp:keywords/>
  <dcterms:created xsi:type="dcterms:W3CDTF">2026-07-21T06:04:06Z</dcterms:created>
  <dcterms:modified xsi:type="dcterms:W3CDTF">2026-07-21T06:04:06Z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