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Bogotá</w:t>
      </w:r>
      <w:r>
        <w:t xml:space="preserve"> </w:t>
      </w:r>
      <w:r>
        <w:t xml:space="preserve">Banking</w:t>
      </w:r>
      <w:r>
        <w:t xml:space="preserve"> </w:t>
      </w:r>
      <w:r>
        <w:t xml:space="preserve">Operations</w:t>
      </w:r>
    </w:p>
    <w:bookmarkStart w:id="25" w:name="Xf2e996cb16aafc74cdbd765830a5c182590a646"/>
    <w:p>
      <w:pPr>
        <w:pStyle w:val="Heading1"/>
      </w:pPr>
      <w:r>
        <w:t xml:space="preserve">Q3 2023 Sales Performance Report: Strategic Insights for Bankers in Colombia Bogotá</w:t>
      </w:r>
    </w:p>
    <w:p>
      <w:pPr>
        <w:pStyle w:val="FirstParagraph"/>
      </w:pPr>
      <w:r>
        <w:rPr>
          <w:bCs/>
          <w:b/>
        </w:rPr>
        <w:t xml:space="preserve">Prepared For:</w:t>
      </w:r>
      <w:r>
        <w:t xml:space="preserve"> </w:t>
      </w:r>
      <w:r>
        <w:t xml:space="preserve">Executive Leadership &amp; Banking Teams |</w:t>
      </w:r>
      <w:r>
        <w:t xml:space="preserve"> </w:t>
      </w:r>
      <w:r>
        <w:rPr>
          <w:bCs/>
          <w:b/>
        </w:rPr>
        <w:t xml:space="preserve">Date:</w:t>
      </w:r>
      <w:r>
        <w:t xml:space="preserve"> </w:t>
      </w:r>
      <w:r>
        <w:t xml:space="preserve">October 26, 2023 |</w:t>
      </w:r>
      <w:r>
        <w:t xml:space="preserve"> </w:t>
      </w:r>
      <w:r>
        <w:rPr>
          <w:bCs/>
          <w:b/>
        </w:rPr>
        <w:t xml:space="preserve">Location Focus:</w:t>
      </w:r>
      <w:r>
        <w:t xml:space="preserve"> </w:t>
      </w:r>
      <w:r>
        <w:t xml:space="preserve">Colombia Bogotá</w:t>
      </w:r>
    </w:p>
    <w:bookmarkStart w:id="20" w:name="X07e19e5094dcfc72231d5cbc92e9f2051cfbbdc"/>
    <w:p>
      <w:pPr>
        <w:pStyle w:val="Heading2"/>
      </w:pPr>
      <w:r>
        <w:t xml:space="preserve">I. Executive Summary: Banker Excellence in Bogotá's Dynamic Market</w:t>
      </w:r>
    </w:p>
    <w:p>
      <w:pPr>
        <w:pStyle w:val="FirstParagraph"/>
      </w:pPr>
      <w:r>
        <w:t xml:space="preserve">This comprehensive Sales Report details the exceptional performance of our Banking Team within Colombia Bogotá during Q3 2023. As the financial epicenter of Colombia, Bogotá demands specialized strategies where every Banker must navigate unique economic pressures, regulatory nuances, and hyper-local client expectations. Our data confirms that Bogotá-based Bankers achieved a remarkable 18.7% year-over-year growth in new client acquisition and 22.3% expansion in cross-sell revenue – significantly outperforming both national averages and regional competitors. This success stems directly from our Banker-centric approach, where relationship-focused professionals deeply understand Bogotá's market segmentation: from upscale Zona T entrepreneurs to emerging SME clusters in Suba and Usaquén. Crucially, this report emphasizes how each Banker’s localized knowledge transformed Colombia Bogotá into a high-value revenue engine.</w:t>
      </w:r>
    </w:p>
    <w:bookmarkEnd w:id="20"/>
    <w:bookmarkStart w:id="21" w:name="Xaa51934747f0474c3a1f520b208d20dc97b5eb8"/>
    <w:p>
      <w:pPr>
        <w:pStyle w:val="Heading2"/>
      </w:pPr>
      <w:r>
        <w:t xml:space="preserve">II. Key Sales Metrics: Banker-Driven Results in Bogotá</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(Bogotá)</w:t>
            </w:r>
          </w:p>
        </w:tc>
        <w:tc>
          <w:tcPr/>
          <w:p>
            <w:pPr>
              <w:pStyle w:val="Compact"/>
              <w:jc w:val="left"/>
            </w:pPr>
            <w:r>
              <w:t xml:space="preserve">Q3 2022 (Bogotá)</w:t>
            </w:r>
          </w:p>
        </w:tc>
        <w:tc>
          <w:tcPr/>
          <w:p>
            <w:pPr>
              <w:pStyle w:val="Compact"/>
              <w:jc w:val="left"/>
            </w:pPr>
            <w:r>
              <w:t xml:space="preserve">% Change</w:t>
            </w:r>
          </w:p>
        </w:tc>
      </w:tr>
      <w:tr>
        <w:tc>
          <w:tcPr/>
          <w:p>
            <w:pPr>
              <w:pStyle w:val="Compact"/>
              <w:jc w:val="left"/>
            </w:pPr>
            <w:r>
              <w:t xml:space="preserve">New Business Acquired</w:t>
            </w:r>
          </w:p>
        </w:tc>
        <w:tc>
          <w:tcPr/>
          <w:p>
            <w:pPr>
              <w:pStyle w:val="Compact"/>
              <w:jc w:val="left"/>
            </w:pPr>
            <w:r>
              <w:t xml:space="preserve">$48.7M COP</w:t>
            </w:r>
          </w:p>
        </w:tc>
        <w:tc>
          <w:tcPr/>
          <w:p>
            <w:pPr>
              <w:pStyle w:val="Compact"/>
              <w:jc w:val="left"/>
            </w:pPr>
            <w:r>
              <w:t xml:space="preserve">$39.1M COP</w:t>
            </w:r>
          </w:p>
        </w:tc>
        <w:tc>
          <w:tcPr/>
          <w:p>
            <w:pPr>
              <w:pStyle w:val="Compact"/>
              <w:jc w:val="left"/>
            </w:pPr>
            <w:r>
              <w:t xml:space="preserve">+24.5%</w:t>
            </w:r>
          </w:p>
        </w:tc>
      </w:tr>
      <w:tr>
        <w:tc>
          <w:tcPr/>
          <w:p>
            <w:pPr>
              <w:pStyle w:val="Compact"/>
              <w:jc w:val="left"/>
            </w:pPr>
            <w:r>
              <w:t xml:space="preserve">SME Loan Disbursements (Bankers)</w:t>
            </w:r>
          </w:p>
        </w:tc>
        <w:tc>
          <w:tcPr/>
          <w:p>
            <w:pPr>
              <w:pStyle w:val="Compact"/>
              <w:jc w:val="left"/>
            </w:pPr>
            <w:r>
              <w:t xml:space="preserve">1,267 loans ($32.4M COP)</w:t>
            </w:r>
          </w:p>
        </w:tc>
        <w:tc>
          <w:tcPr/>
          <w:p>
            <w:pPr>
              <w:pStyle w:val="Compact"/>
              <w:jc w:val="left"/>
            </w:pPr>
            <w:r>
              <w:t xml:space="preserve">983 loans ($25.8M COP)</w:t>
            </w:r>
          </w:p>
        </w:tc>
        <w:tc>
          <w:tcPr/>
          <w:p>
            <w:pPr>
              <w:pStyle w:val="Compact"/>
              <w:jc w:val="left"/>
            </w:pPr>
            <w:r>
              <w:t xml:space="preserve">+29.0%</w:t>
            </w:r>
          </w:p>
        </w:tc>
      </w:tr>
      <w:tr>
        <w:tc>
          <w:tcPr/>
          <w:p>
            <w:pPr>
              <w:pStyle w:val="Compact"/>
              <w:jc w:val="left"/>
            </w:pPr>
            <w:r>
              <w:t xml:space="preserve">Digital Banking Adoption (via Banker Outreach)</w:t>
            </w:r>
          </w:p>
        </w:tc>
        <w:tc>
          <w:tcPr/>
          <w:p>
            <w:pPr>
              <w:pStyle w:val="Compact"/>
              <w:jc w:val="left"/>
            </w:pPr>
            <w:r>
              <w:t xml:space="preserve">67% of new clients</w:t>
            </w:r>
          </w:p>
        </w:tc>
        <w:tc>
          <w:tcPr/>
          <w:p>
            <w:pPr>
              <w:pStyle w:val="Compact"/>
              <w:jc w:val="left"/>
            </w:pPr>
            <w:r>
              <w:t xml:space="preserve">54% of new clients</w:t>
            </w:r>
          </w:p>
        </w:tc>
        <w:tc>
          <w:tcPr/>
          <w:p>
            <w:pPr>
              <w:pStyle w:val="Compact"/>
              <w:jc w:val="left"/>
            </w:pPr>
            <w:r>
              <w:t xml:space="preserve">+13 pts</w:t>
            </w:r>
          </w:p>
        </w:tc>
      </w:tr>
      <w:tr>
        <w:tc>
          <w:tcPr/>
          <w:p>
            <w:pPr>
              <w:pStyle w:val="Compact"/>
              <w:jc w:val="left"/>
            </w:pPr>
            <w:r>
              <w:t xml:space="preserve">Cross-Sell Rate per Banker</w:t>
            </w:r>
          </w:p>
        </w:tc>
        <w:tc>
          <w:tcPr/>
          <w:p>
            <w:pPr>
              <w:pStyle w:val="Compact"/>
              <w:jc w:val="left"/>
            </w:pPr>
            <w:r>
              <w:t xml:space="preserve">4.2 products/client</w:t>
            </w:r>
          </w:p>
        </w:tc>
        <w:tc>
          <w:tcPr/>
          <w:p>
            <w:pPr>
              <w:pStyle w:val="Compact"/>
              <w:jc w:val="left"/>
            </w:pPr>
            <w:r>
              <w:t xml:space="preserve">3.6 products/client</w:t>
            </w:r>
          </w:p>
        </w:tc>
        <w:tc>
          <w:tcPr/>
          <w:p>
            <w:pPr>
              <w:pStyle w:val="Compact"/>
              <w:jc w:val="left"/>
            </w:pPr>
            <w:r>
              <w:t xml:space="preserve">+16.7%</w:t>
            </w:r>
          </w:p>
        </w:tc>
      </w:tr>
    </w:tbl>
    <w:p>
      <w:pPr>
        <w:pStyle w:val="BodyText"/>
      </w:pPr>
      <w:r>
        <w:t xml:space="preserve">The data reveals a critical trend: Bankers who leveraged deep Bogotá market intelligence—understanding sectors like manufacturing in Fontibón or retail in Chapinero—secured 35% more high-value client relationships. This underscores why every Sales Report must prioritize the Banker as the strategic asset, not just a salesperson. In Colombia Bogotá, where 78% of corporate clients prioritize personal relationship over digital convenience (DANE 2023), our Bankers’ cultural fluency directly translates to revenue growth.</w:t>
      </w:r>
    </w:p>
    <w:bookmarkEnd w:id="21"/>
    <w:bookmarkStart w:id="22" w:name="X03175098aab9ac55bb41dba7e936b17e9422b56"/>
    <w:p>
      <w:pPr>
        <w:pStyle w:val="Heading2"/>
      </w:pPr>
      <w:r>
        <w:t xml:space="preserve">III. Market Analysis: Navigating Colombia Bogotá’s Unique Landscape</w:t>
      </w:r>
    </w:p>
    <w:p>
      <w:pPr>
        <w:pStyle w:val="FirstParagraph"/>
      </w:pPr>
      <w:r>
        <w:t xml:space="preserve">Bogotá’s economy, representing 45% of Colombia's GDP, presents both opportunities and challenges. Recent regulatory shifts by the Superintendency of Finance (SFC) on credit accessibility have reshaped our Banker sales approach. In Q3, we observed a 31% surge in SMEs seeking "Bancos de Crecimiento" (Growth Banks)—a term local entrepreneurs use to describe institutions offering tailored financing. Bogotá Bankers responded by developing specialized product bundles: the</w:t>
      </w:r>
      <w:r>
        <w:t xml:space="preserve"> </w:t>
      </w:r>
      <w:r>
        <w:rPr>
          <w:iCs/>
          <w:i/>
        </w:rPr>
        <w:t xml:space="preserve">“Bogotá Emprende”</w:t>
      </w:r>
      <w:r>
        <w:t xml:space="preserve"> </w:t>
      </w:r>
      <w:r>
        <w:t xml:space="preserve">package (combining loans, digital banking, and financial literacy workshops) achieved 92% client satisfaction in our internal surveys.</w:t>
      </w:r>
    </w:p>
    <w:p>
      <w:pPr>
        <w:pStyle w:val="BodyText"/>
      </w:pPr>
      <w:r>
        <w:t xml:space="preserve">Critical to our Sales Report is highlighting how Bogotá-specific factors influenced results. For instance:</w:t>
      </w:r>
    </w:p>
    <w:p>
      <w:pPr>
        <w:numPr>
          <w:ilvl w:val="0"/>
          <w:numId w:val="1001"/>
        </w:numPr>
        <w:pStyle w:val="Compact"/>
      </w:pPr>
      <w:r>
        <w:rPr>
          <w:bCs/>
          <w:b/>
        </w:rPr>
        <w:t xml:space="preserve">Competition:</w:t>
      </w:r>
      <w:r>
        <w:t xml:space="preserve"> </w:t>
      </w:r>
      <w:r>
        <w:t xml:space="preserve">Local rivals like Bancolombia and Davivienda intensified focus on premium residential clients in El Retiro—requiring our Bankers to deploy bespoke wealth management pitches.</w:t>
      </w:r>
    </w:p>
    <w:p>
      <w:pPr>
        <w:numPr>
          <w:ilvl w:val="0"/>
          <w:numId w:val="1001"/>
        </w:numPr>
        <w:pStyle w:val="Compact"/>
      </w:pPr>
      <w:r>
        <w:rPr>
          <w:bCs/>
          <w:b/>
        </w:rPr>
        <w:t xml:space="preserve">Economic Volatility:</w:t>
      </w:r>
      <w:r>
        <w:t xml:space="preserve"> </w:t>
      </w:r>
      <w:r>
        <w:t xml:space="preserve">Rising inflation (8.3% YoY) made credit risk assessment paramount; Bankers utilized Colombia’s new "Sistema de Clasificación Bancaria" (SCB) tool during client consultations, reducing delinquency by 14%.</w:t>
      </w:r>
    </w:p>
    <w:bookmarkEnd w:id="22"/>
    <w:bookmarkStart w:id="23" w:name="X80e2f8324e22c539f62d259759e467845f171d8"/>
    <w:p>
      <w:pPr>
        <w:pStyle w:val="Heading2"/>
      </w:pPr>
      <w:r>
        <w:t xml:space="preserve">IV. Strategic Recommendations for Bankers in Colombia Bogotá</w:t>
      </w:r>
    </w:p>
    <w:p>
      <w:pPr>
        <w:pStyle w:val="FirstParagraph"/>
      </w:pPr>
      <w:r>
        <w:t xml:space="preserve">To sustain this momentum, we propose three actionable strategies rooted in Q3 insights:</w:t>
      </w:r>
    </w:p>
    <w:p>
      <w:pPr>
        <w:numPr>
          <w:ilvl w:val="0"/>
          <w:numId w:val="1002"/>
        </w:numPr>
        <w:pStyle w:val="Compact"/>
      </w:pPr>
      <w:r>
        <w:rPr>
          <w:bCs/>
          <w:b/>
        </w:rPr>
        <w:t xml:space="preserve">Hyper-Localized Product Development:</w:t>
      </w:r>
      <w:r>
        <w:t xml:space="preserve"> </w:t>
      </w:r>
      <w:r>
        <w:t xml:space="preserve">Collaborate with Bankers to create region-specific offerings (e.g., a "Suba Tech Startup" package addressing high-growth sector needs). 76% of Bogotá entrepreneurs surveyed requested this, per our Q3 client feedback.</w:t>
      </w:r>
    </w:p>
    <w:p>
      <w:pPr>
        <w:numPr>
          <w:ilvl w:val="0"/>
          <w:numId w:val="1002"/>
        </w:numPr>
        <w:pStyle w:val="Compact"/>
      </w:pPr>
      <w:r>
        <w:rPr>
          <w:bCs/>
          <w:b/>
        </w:rPr>
        <w:t xml:space="preserve">Digital-First Relationship Building:</w:t>
      </w:r>
      <w:r>
        <w:t xml:space="preserve"> </w:t>
      </w:r>
      <w:r>
        <w:t xml:space="preserve">Equip Bankers with tools to conduct virtual "Bogotá Business Walks" using geo-tagged market data. This approach increased digital engagement by 41% among clients in La Candelaria and Santa Fé.</w:t>
      </w:r>
    </w:p>
    <w:p>
      <w:pPr>
        <w:numPr>
          <w:ilvl w:val="0"/>
          <w:numId w:val="1002"/>
        </w:numPr>
        <w:pStyle w:val="Compact"/>
      </w:pPr>
      <w:r>
        <w:rPr>
          <w:bCs/>
          <w:b/>
        </w:rPr>
        <w:t xml:space="preserve">Regulatory Navigation Training:</w:t>
      </w:r>
      <w:r>
        <w:t xml:space="preserve"> </w:t>
      </w:r>
      <w:r>
        <w:t xml:space="preserve">Mandatory workshops on SFC’s new microfinance guidelines—critical as Bogotá’s informal sector (22.8% of GDP) expands. Bankers who completed this training saw 33% higher client retention in Q3.</w:t>
      </w:r>
    </w:p>
    <w:bookmarkEnd w:id="23"/>
    <w:bookmarkStart w:id="24" w:name="X8689c3db523473977c5476bf9afdb3e8de76f00"/>
    <w:p>
      <w:pPr>
        <w:pStyle w:val="Heading2"/>
      </w:pPr>
      <w:r>
        <w:t xml:space="preserve">V. Conclusion: The Banker as Colombia Bogotá’s Growth Catalyst</w:t>
      </w:r>
    </w:p>
    <w:p>
      <w:pPr>
        <w:pStyle w:val="FirstParagraph"/>
      </w:pPr>
      <w:r>
        <w:t xml:space="preserve">This Sales Report unequivocally demonstrates that the Banker is the cornerstone of success in Colombia Bogotá’s competitive landscape. While macroeconomic factors influence banking, it is the human element—our Bankers’ understanding of local commerce, cultural nuances, and neighborhood-specific challenges—that drives sustainable growth. Bogotá’s 3.8% Q3 GDP expansion (per Banco de la República) was mirrored by our team’s ability to convert market opportunities into revenue through personalized banker-client relationships.</w:t>
      </w:r>
    </w:p>
    <w:p>
      <w:pPr>
        <w:pStyle w:val="BodyText"/>
      </w:pPr>
      <w:r>
        <w:t xml:space="preserve">Looking ahead, we must institutionalize the Banker-centric model across Colombia Bogotá operations. Investing in continuous training on local economic indicators and sector-specific trends will position us to capture 25%+ of Bogotá’s projected $185M SME credit market by 2024. As this Sales Report proves, the future of banking in Colombia Bogotá isn’t just about technology or product lines—it’s about empowering our Bankers to be trusted advisors in every transaction. Our Q3 results are not a destination; they are the foundation for becoming Colombia Bogotá’s most valued financial partner.</w:t>
      </w:r>
    </w:p>
    <w:p>
      <w:pPr>
        <w:pStyle w:val="BodyText"/>
      </w:pPr>
      <w:r>
        <w:rPr>
          <w:iCs/>
          <w:i/>
        </w:rPr>
        <w:t xml:space="preserve">Prepared with strategic focus for Colombia Bogotá, by the Sales Operations Team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Bogotá Banking Operations</dc:title>
  <dc:creator/>
  <dc:language>en</dc:language>
  <cp:keywords/>
  <dcterms:created xsi:type="dcterms:W3CDTF">2026-07-24T11:11:02Z</dcterms:created>
  <dcterms:modified xsi:type="dcterms:W3CDTF">2026-07-24T11:11:02Z</dcterms:modified>
</cp:coreProperties>
</file>

<file path=docProps/custom.xml><?xml version="1.0" encoding="utf-8"?>
<Properties xmlns="http://schemas.openxmlformats.org/officeDocument/2006/custom-properties" xmlns:vt="http://schemas.openxmlformats.org/officeDocument/2006/docPropsVTypes"/>
</file>