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Banker</w:t>
      </w:r>
      <w:r>
        <w:t xml:space="preserve"> </w:t>
      </w:r>
      <w:r>
        <w:t xml:space="preserve">Services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7" w:name="Xaae858734c180547bf0fa136da86ad0cec6e2b9"/>
    <w:p>
      <w:pPr>
        <w:pStyle w:val="Heading1"/>
      </w:pPr>
      <w:r>
        <w:t xml:space="preserve">Q3 2023 Sales Report: Strategic Performance of Banker Services in Medellín, Colombia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performance of Banker services across the Medellín metropolitan region during Q3 2023, confirming sustained growth in a market where financial inclusion remains a strategic priority for Colombia. The Banker platform—our integrated digital banking solution designed for SMEs and high-net-worth individuals—achieved an 18.7% year-over-year revenue increase in Medellín, outperforming the national average by 4.2 percentage points. This success underscores the alignment between our service architecture and Medellín’s evolving economic landscape, where innovation-driven sectors like tech (e.g., "Medellín Tech Park" ecosystem) and sustainable manufacturing demand tailored financial solutions. Key drivers included expanded partnerships with local business incubators (notably</w:t>
      </w:r>
      <w:r>
        <w:t xml:space="preserve"> </w:t>
      </w:r>
      <w:r>
        <w:rPr>
          <w:iCs/>
          <w:i/>
        </w:rPr>
        <w:t xml:space="preserve">Emprendimiento Medellín</w:t>
      </w:r>
      <w:r>
        <w:t xml:space="preserve">) and optimized mobile banking adoption among the city’s 25–45 age demographic.</w:t>
      </w:r>
    </w:p>
    <w:bookmarkEnd w:id="20"/>
    <w:bookmarkStart w:id="21" w:name="X0e0d22b440e64e3030c200ad4c1ad15973896c9"/>
    <w:p>
      <w:pPr>
        <w:pStyle w:val="Heading2"/>
      </w:pPr>
      <w:r>
        <w:t xml:space="preserve">II. Market Context: Colombia Medellín as a Strategic Hub</w:t>
      </w:r>
    </w:p>
    <w:p>
      <w:pPr>
        <w:pStyle w:val="FirstParagraph"/>
      </w:pPr>
      <w:r>
        <w:t xml:space="preserve">Medellín represents Colombia’s second-largest economy (31% of Antioquia’s GDP), with a 6.8% annual growth rate in private sector investment—a figure exceeding the national average of 4.9%. This dynamism is fueled by infrastructure initiatives like the</w:t>
      </w:r>
      <w:r>
        <w:t xml:space="preserve"> </w:t>
      </w:r>
      <w:r>
        <w:rPr>
          <w:iCs/>
          <w:i/>
        </w:rPr>
        <w:t xml:space="preserve">Parque Explora</w:t>
      </w:r>
      <w:r>
        <w:t xml:space="preserve"> </w:t>
      </w:r>
      <w:r>
        <w:t xml:space="preserve">innovation corridor and Colombia’s progressive financial regulations (e.g., Superintendencia Financiera’s 2023 fintech sandbox framework). Crucially, Medellín has achieved a 67.8% financial inclusion rate (vs. Colombia’s national average of 64.1%), positioning Banker to capture underserved segments like micro-entrepreneurs in Comuna 13 and the</w:t>
      </w:r>
      <w:r>
        <w:t xml:space="preserve"> </w:t>
      </w:r>
      <w:r>
        <w:rPr>
          <w:iCs/>
          <w:i/>
        </w:rPr>
        <w:t xml:space="preserve">Parque Arví</w:t>
      </w:r>
      <w:r>
        <w:t xml:space="preserve"> </w:t>
      </w:r>
      <w:r>
        <w:t xml:space="preserve">agribusiness cluster. Our sales strategy leveraged this context by embedding localized onboarding workflows (e.g., Spanish-language biometric verification for rural suppliers) and aligning with Medellín’s "City of Opportunity" branding.</w:t>
      </w:r>
    </w:p>
    <w:bookmarkEnd w:id="21"/>
    <w:bookmarkStart w:id="22" w:name="iii.-sales-performance-breakdown"/>
    <w:p>
      <w:pPr>
        <w:pStyle w:val="Heading2"/>
      </w:pPr>
      <w:r>
        <w:t xml:space="preserve">III.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(COP)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Medellín Drivers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SME Lending (Digital Loans)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$14.2B COP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in textile/artisanal exports to EU via Medellín’s "Export Center"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Wealth Management (Private Banking)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$8.7B COP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partnerships with local family offices in El Poblado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Corporate Treasury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$6.9B COP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Contract wins with EPM (Medellín’s municipal utility) &amp; regional logistics firms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Notable Achievement:</w:t>
      </w:r>
      <w:r>
        <w:t xml:space="preserve"> </w:t>
      </w:r>
      <w:r>
        <w:t xml:space="preserve">The Banker platform recorded a 41% uptake among Medellín-based tech startups—surpassing Bogotá’s rate by 12%. This was driven by our</w:t>
      </w:r>
      <w:r>
        <w:t xml:space="preserve"> </w:t>
      </w:r>
      <w:r>
        <w:rPr>
          <w:iCs/>
          <w:i/>
        </w:rPr>
        <w:t xml:space="preserve">Bancalidad Digital</w:t>
      </w:r>
      <w:r>
        <w:t xml:space="preserve"> </w:t>
      </w:r>
      <w:r>
        <w:t xml:space="preserve">initiative, which waived onboarding fees for businesses registered with the Medellín Innovation Agency (AIEM).</w:t>
      </w:r>
    </w:p>
    <w:bookmarkEnd w:id="22"/>
    <w:bookmarkStart w:id="23" w:name="iv.-customer-acquisition-retention"/>
    <w:p>
      <w:pPr>
        <w:pStyle w:val="Heading2"/>
      </w:pPr>
      <w:r>
        <w:t xml:space="preserve">IV. Customer Acquisition &amp; Retention</w:t>
      </w:r>
    </w:p>
    <w:p>
      <w:pPr>
        <w:pStyle w:val="FirstParagraph"/>
      </w:pPr>
      <w:r>
        <w:t xml:space="preserve">In Colombia Medellín, customer acquisition costs decreased by 19% through hyper-localized digital campaigns targeting neighborhoods like La Poblada and El Poblado. Our social media strategy—using Instagram Reels with local influencers (e.g., Medellín entrepreneur @MariaDelCarmen) to demonstrate Banker’s utility for daily operations—generated a 32% higher conversion rate than national averages. Retention metrics also improved: 89% of active Banker clients in Medellín renewed services, up from 84% in Q2, largely due to the</w:t>
      </w:r>
      <w:r>
        <w:t xml:space="preserve"> </w:t>
      </w:r>
      <w:r>
        <w:rPr>
          <w:iCs/>
          <w:i/>
        </w:rPr>
        <w:t xml:space="preserve">Medellín Support Desk</w:t>
      </w:r>
      <w:r>
        <w:t xml:space="preserve"> </w:t>
      </w:r>
      <w:r>
        <w:t xml:space="preserve">(local call center staffed by bilingual agents with deep community knowledge).</w:t>
      </w:r>
    </w:p>
    <w:bookmarkEnd w:id="23"/>
    <w:bookmarkStart w:id="24" w:name="v.-challenges-strategic-response"/>
    <w:p>
      <w:pPr>
        <w:pStyle w:val="Heading2"/>
      </w:pPr>
      <w:r>
        <w:t xml:space="preserve">V. Challenges &amp; Strategic Response</w:t>
      </w:r>
    </w:p>
    <w:p>
      <w:pPr>
        <w:pStyle w:val="FirstParagraph"/>
      </w:pPr>
      <w:r>
        <w:t xml:space="preserve">Two key challenges emerged during Q3: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The COP’s 10% depreciation against the USD impacted SME loan demand. Our response included hedging tools embedded in Banker for exports to EU markets (e.g., Colombia’s top export category: coffee, with Medellín as a key processing hub).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New Superintendencia requirements for KYC verification in rural areas. Banker’s AI-powered document scanner (trained on Colombian ID formats) reduced compliance time by 55%.</w:t>
      </w:r>
    </w:p>
    <w:bookmarkEnd w:id="24"/>
    <w:bookmarkStart w:id="25" w:name="Xfc9d52de401b04a2db90c05f395ea073c3adc63"/>
    <w:p>
      <w:pPr>
        <w:pStyle w:val="Heading2"/>
      </w:pPr>
      <w:r>
        <w:t xml:space="preserve">VI. Colombia Medellín: Long-Term Opportunity</w:t>
      </w:r>
    </w:p>
    <w:p>
      <w:pPr>
        <w:pStyle w:val="FirstParagraph"/>
      </w:pPr>
      <w:r>
        <w:t xml:space="preserve">Medellín’s 2030 Urban Development Plan prioritizes financial infrastructure, with $850M allocated to digitize local commerce—creating a perfect alignment for Banker services. We project 35% revenue growth in this market by Q4 2024 through three initiatives: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Agri-Banker:</w:t>
      </w:r>
      <w:r>
        <w:t xml:space="preserve"> </w:t>
      </w:r>
      <w:r>
        <w:t xml:space="preserve">Tailored loans for coffee/avocado producers in the Aburrá Valley, integrated with Colombia’s</w:t>
      </w:r>
      <w:r>
        <w:t xml:space="preserve"> </w:t>
      </w:r>
      <w:r>
        <w:rPr>
          <w:iCs/>
          <w:i/>
        </w:rPr>
        <w:t xml:space="preserve">Sistema de Información Agropecuaria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 Partner Program:</w:t>
      </w:r>
      <w:r>
        <w:t xml:space="preserve"> </w:t>
      </w:r>
      <w:r>
        <w:t xml:space="preserve">Co-developing APIs with Medellín Tech Park startups for real-time cash flow analytics.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Financial Literacy Workshops:</w:t>
      </w:r>
      <w:r>
        <w:t xml:space="preserve"> </w:t>
      </w:r>
      <w:r>
        <w:t xml:space="preserve">Partnering with municipal schools to onboard Gen Z entrepreneurs—addressing Colombia’s 33% youth unemployment rate in Medellín.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Q3 results validate that Banker services are not merely a product but a strategic growth engine for Colombia Medellín’s economic transformation. By embedding ourselves in the city’s identity—from supporting micro-entrepreneurs in Comuna 13 to enabling global trade for Medellín-made textiles—we’ve moved beyond transactional banking to become an ecosystem catalyst. As Colombia solidifies its position as Latin America’s fintech leader, Medellín remains our most promising market: where local context and global standards converge. We recommend doubling down on the</w:t>
      </w:r>
      <w:r>
        <w:t xml:space="preserve"> </w:t>
      </w:r>
      <w:r>
        <w:rPr>
          <w:iCs/>
          <w:i/>
        </w:rPr>
        <w:t xml:space="preserve">Medellín Growth Fund</w:t>
      </w:r>
      <w:r>
        <w:t xml:space="preserve"> </w:t>
      </w:r>
      <w:r>
        <w:t xml:space="preserve">(a dedicated $20M capital allocation for SMEs in our service area) to secure 25% market share in the city’s digital banking segment by 2025.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Strategy Team, Banker Colombia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sales.medellin@banker.com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Banker Services Performance in Medellín, Colombia</dc:title>
  <dc:creator/>
  <dc:language>en</dc:language>
  <cp:keywords/>
  <dcterms:created xsi:type="dcterms:W3CDTF">2026-07-24T21:25:36Z</dcterms:created>
  <dcterms:modified xsi:type="dcterms:W3CDTF">2026-07-24T21:25:36Z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