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Operations</w:t>
      </w:r>
      <w:r>
        <w:t xml:space="preserve"> </w:t>
      </w:r>
      <w:r>
        <w:t xml:space="preserve">in</w:t>
      </w:r>
      <w:r>
        <w:t xml:space="preserve"> </w:t>
      </w:r>
      <w:r>
        <w:t xml:space="preserve">Egypt</w:t>
      </w:r>
      <w:r>
        <w:t xml:space="preserve"> </w:t>
      </w:r>
      <w:r>
        <w:t xml:space="preserve">Alexandria</w:t>
      </w:r>
    </w:p>
    <w:bookmarkStart w:id="30" w:name="Xaaf573f8117d7184da8610ce2faec6a0ba9d778"/>
    <w:p>
      <w:pPr>
        <w:pStyle w:val="Heading1"/>
      </w:pPr>
      <w:r>
        <w:t xml:space="preserve">Comprehensive Sales Report: Banking Performance Analysis for Alexandria, Egypt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Bank of Egypt (Alexandria Branch)</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Banking Division across Egypt Alexandria during the third quarter of 2023. As a leading Banker in the Egyptian financial landscape, our Alexandria branch demonstrated significant growth in customer acquisition and portfolio expansion, directly contributing to national banking objectives. This document underscores how strategic initiatives by our dedicated Banker team have positioned us for sustainable market leadership within Egypt's second-largest city. Key metrics reveal a 17.4% increase in new retail accounts and 22% higher cross-sell ratios compared to Q2, validating our Alexandria-focused sales strategy.</w:t>
      </w:r>
    </w:p>
    <w:bookmarkEnd w:id="20"/>
    <w:bookmarkStart w:id="21" w:name="ii.-alexandria-market-context"/>
    <w:p>
      <w:pPr>
        <w:pStyle w:val="Heading2"/>
      </w:pPr>
      <w:r>
        <w:t xml:space="preserve">II. Alexandria Market Context</w:t>
      </w:r>
    </w:p>
    <w:p>
      <w:pPr>
        <w:pStyle w:val="FirstParagraph"/>
      </w:pPr>
      <w:r>
        <w:t xml:space="preserve">Egypt Alexandria remains a critical economic hub, contributing approximately 18% of Egypt's GDP through its port activities, tourism sector (7.3 million annual visitors), and industrial zones. As a Banker operating in this dynamic environment, our sales approach must align with Alexandria's unique commercial rhythm – where 63% of businesses are SMEs requiring tailored credit solutions (Central Bank of Egypt, 2023). This Sales Report emphasizes that our Alexandria branch has successfully leveraged local market intelligence to develop region-specific products, including the "Alexandria Harbor Trade Financing Package" for port-related enterprises and "Coastal Tourism Investment Loans" for seasonal businesses.</w:t>
      </w:r>
    </w:p>
    <w:bookmarkEnd w:id="21"/>
    <w:bookmarkStart w:id="22" w:name="iii.-key-performance-indicators-q3-2023"/>
    <w:p>
      <w:pPr>
        <w:pStyle w:val="Heading2"/>
      </w:pPr>
      <w:r>
        <w:t xml:space="preserve">III. Key Performance Indicators (Q3 2023)</w:t>
      </w:r>
    </w:p>
    <w:p>
      <w:pPr>
        <w:pStyle w:val="FirstParagraph"/>
      </w:pPr>
      <w:r>
        <w:t xml:space="preserve">Performance Metric</w:t>
      </w:r>
    </w:p>
    <w:p>
      <w:pPr>
        <w:pStyle w:val="BodyText"/>
      </w:pPr>
      <w:r>
        <w:t xml:space="preserve">Q3 2023 Value</w:t>
      </w:r>
    </w:p>
    <w:p>
      <w:pPr>
        <w:pStyle w:val="BodyText"/>
      </w:pPr>
      <w:r>
        <w:t xml:space="preserve">% vs Q2 2023</w:t>
      </w:r>
    </w:p>
    <w:p>
      <w:pPr>
        <w:pStyle w:val="BodyText"/>
      </w:pPr>
      <w:r>
        <w:t xml:space="preserve">% vs Q3 2022</w:t>
      </w:r>
    </w:p>
    <w:p>
      <w:pPr>
        <w:pStyle w:val="BodyText"/>
      </w:pPr>
      <w:r>
        <w:t xml:space="preserve">New Retail Customer Acquisition (Alexandria)</w:t>
      </w:r>
    </w:p>
    <w:p>
      <w:pPr>
        <w:pStyle w:val="BodyText"/>
      </w:pPr>
      <w:r>
        <w:t xml:space="preserve">1,485</w:t>
      </w:r>
    </w:p>
    <w:p>
      <w:pPr>
        <w:pStyle w:val="BodyText"/>
      </w:pPr>
      <w:r>
        <w:t xml:space="preserve">+17.4%</w:t>
      </w:r>
    </w:p>
    <w:p>
      <w:pPr>
        <w:pStyle w:val="BodyText"/>
      </w:pPr>
      <w:r>
        <w:t xml:space="preserve">+39.6%</w:t>
      </w:r>
    </w:p>
    <w:p>
      <w:pPr>
        <w:pStyle w:val="BodyText"/>
      </w:pPr>
      <w:r>
        <w:t xml:space="preserve">Commercial Loan Portfolio Growth</w:t>
      </w:r>
    </w:p>
    <w:p>
      <w:pPr>
        <w:pStyle w:val="BodyText"/>
      </w:pPr>
      <w:r>
        <w:t xml:space="preserve">&lt;</w:t>
      </w:r>
    </w:p>
    <w:p>
      <w:pPr>
        <w:pStyle w:val="BodyText"/>
      </w:pPr>
      <w:r>
        <w:t xml:space="preserve">EGP 287M</w:t>
      </w:r>
    </w:p>
    <w:p>
      <w:pPr>
        <w:pStyle w:val="BodyText"/>
      </w:pPr>
      <w:r>
        <w:t xml:space="preserve">&lt;</w:t>
      </w:r>
    </w:p>
    <w:p>
      <w:pPr>
        <w:pStyle w:val="BodyText"/>
      </w:pPr>
      <w:r>
        <w:t xml:space="preserve">+22.1%</w:t>
      </w:r>
    </w:p>
    <w:p>
      <w:pPr>
        <w:pStyle w:val="BodyText"/>
      </w:pPr>
      <w:r>
        <w:t xml:space="preserve">+53.8%</w:t>
      </w:r>
    </w:p>
    <w:p>
      <w:pPr>
        <w:pStyle w:val="BodyText"/>
      </w:pPr>
      <w:r>
        <w:t xml:space="preserve">Cross-Sell Ratio (Customer)</w:t>
      </w:r>
    </w:p>
    <w:p>
      <w:pPr>
        <w:pStyle w:val="BodyText"/>
      </w:pPr>
      <w:r>
        <w:t xml:space="preserve">3.6 products</w:t>
      </w:r>
    </w:p>
    <w:p>
      <w:pPr>
        <w:pStyle w:val="BodyText"/>
      </w:pPr>
      <w:r>
        <w:t xml:space="preserve">+15.9%</w:t>
      </w:r>
    </w:p>
    <w:p>
      <w:pPr>
        <w:pStyle w:val="BodyText"/>
      </w:pPr>
      <w:r>
        <w:t xml:space="preserve">+41.2%</w:t>
      </w:r>
    </w:p>
    <w:p>
      <w:pPr>
        <w:pStyle w:val="BodyText"/>
      </w:pPr>
      <w:r>
        <w:t xml:space="preserve">Mobile Banking Adoption Rate</w:t>
      </w:r>
    </w:p>
    <w:p>
      <w:pPr>
        <w:pStyle w:val="BodyText"/>
      </w:pPr>
      <w:r>
        <w:t xml:space="preserve">78.3%</w:t>
      </w:r>
    </w:p>
    <w:p>
      <w:pPr>
        <w:pStyle w:val="BodyText"/>
      </w:pPr>
      <w:r>
        <w:t xml:space="preserve">+24.5%</w:t>
      </w:r>
    </w:p>
    <w:p>
      <w:pPr>
        <w:pStyle w:val="BodyText"/>
      </w:pPr>
      <w:r>
        <w:t xml:space="preserve">The data confirms our Banker strategy in Egypt Alexandria is yielding exceptional results. Notably, the 22% commercial loan growth directly correlates with Alexandria's industrial expansion – particularly in the new Sidi Gaber Free Zone where we secured 14 major business accounts. This performance establishes us as the top-performing branch among all National Bank of Egypt locations in Egypt.</w:t>
      </w:r>
    </w:p>
    <w:bookmarkEnd w:id="22"/>
    <w:bookmarkStart w:id="26" w:name="X9b79c9b7f575356ac0b70ac67647eb6e3f421d9"/>
    <w:p>
      <w:pPr>
        <w:pStyle w:val="Heading2"/>
      </w:pPr>
      <w:r>
        <w:t xml:space="preserve">IV. Alexandria-Specific Sales Initiatives</w:t>
      </w:r>
    </w:p>
    <w:p>
      <w:pPr>
        <w:pStyle w:val="FirstParagraph"/>
      </w:pPr>
      <w:r>
        <w:t xml:space="preserve">This Sales Report highlights three region-focused initiatives that drove our Alexandria success:</w:t>
      </w:r>
    </w:p>
    <w:bookmarkStart w:id="23" w:name="a.-alexandria-business-connect-program"/>
    <w:p>
      <w:pPr>
        <w:pStyle w:val="Heading3"/>
      </w:pPr>
      <w:r>
        <w:t xml:space="preserve">A. "Alexandria Business Connect" Program</w:t>
      </w:r>
    </w:p>
    <w:p>
      <w:pPr>
        <w:pStyle w:val="FirstParagraph"/>
      </w:pPr>
      <w:r>
        <w:t xml:space="preserve">Launched in July 2023, this initiative placed dedicated Banker teams within Alexandria Chamber of Commerce and major industrial parks. The program resulted in 47 new SME contracts with an average loan size of EGP 5.8M – exceeding targets by 31%. The Banker's localized approach allowed for immediate understanding of Alexandria-specific challenges like seasonal tourism cash flow patterns.</w:t>
      </w:r>
    </w:p>
    <w:bookmarkEnd w:id="23"/>
    <w:bookmarkStart w:id="24" w:name="b.-coastal-tourism-partnership"/>
    <w:p>
      <w:pPr>
        <w:pStyle w:val="Heading3"/>
      </w:pPr>
      <w:r>
        <w:t xml:space="preserve">B. Coastal Tourism Partnership</w:t>
      </w:r>
    </w:p>
    <w:p>
      <w:pPr>
        <w:pStyle w:val="FirstParagraph"/>
      </w:pPr>
      <w:r>
        <w:t xml:space="preserve">Collaborating with Alexandria's tourism authority, our Banker team developed a "Seasonal Revenue Financing" product. This solution addressed the 6-month off-season revenue gap for hoteliers through flexible repayment plans tied to tourist arrival data. The initiative captured 28% of the city's mid-tier hotels and generated EGP 142M in new loans within Q3.</w:t>
      </w:r>
    </w:p>
    <w:bookmarkEnd w:id="24"/>
    <w:bookmarkStart w:id="25" w:name="c.-digital-transformation-drive"/>
    <w:p>
      <w:pPr>
        <w:pStyle w:val="Heading3"/>
      </w:pPr>
      <w:r>
        <w:t xml:space="preserve">C. Digital Transformation Drive</w:t>
      </w:r>
    </w:p>
    <w:p>
      <w:pPr>
        <w:pStyle w:val="FirstParagraph"/>
      </w:pPr>
      <w:r>
        <w:t xml:space="preserve">Recognizing Alexandria's high smartphone penetration (89%), we deployed Arabic-language mobile banking kiosks at key locations including Montaza Palace and the Alexandra Theatre. This initiative boosted mobile usage by 24.5% among Alexandria customers – a critical metric for our Banker efficiency metrics in Egypt.</w:t>
      </w:r>
    </w:p>
    <w:bookmarkEnd w:id="25"/>
    <w:bookmarkEnd w:id="26"/>
    <w:bookmarkStart w:id="27" w:name="v.-challenges-mitigation-strategies"/>
    <w:p>
      <w:pPr>
        <w:pStyle w:val="Heading2"/>
      </w:pPr>
      <w:r>
        <w:t xml:space="preserve">V. Challenges &amp; Mitigation Strategies</w:t>
      </w:r>
    </w:p>
    <w:p>
      <w:pPr>
        <w:pStyle w:val="FirstParagraph"/>
      </w:pPr>
      <w:r>
        <w:t xml:space="preserve">Operating as a Banker in Egypt Alexandria presents unique hurdles:</w:t>
      </w:r>
    </w:p>
    <w:p>
      <w:pPr>
        <w:numPr>
          <w:ilvl w:val="0"/>
          <w:numId w:val="1001"/>
        </w:numPr>
        <w:pStyle w:val="Compact"/>
      </w:pPr>
      <w:r>
        <w:rPr>
          <w:bCs/>
          <w:b/>
        </w:rPr>
        <w:t xml:space="preserve">Regulatory Complexity:</w:t>
      </w:r>
      <w:r>
        <w:t xml:space="preserve"> </w:t>
      </w:r>
      <w:r>
        <w:t xml:space="preserve">Alexandria's port regulations require specialized trade documentation. Our solution: Created dedicated "Alexandria Trade Compliance Units" within the branch, reducing loan processing time from 14 to 5 business days.</w:t>
      </w:r>
    </w:p>
    <w:p>
      <w:pPr>
        <w:numPr>
          <w:ilvl w:val="0"/>
          <w:numId w:val="1001"/>
        </w:numPr>
        <w:pStyle w:val="Compact"/>
      </w:pPr>
      <w:r>
        <w:rPr>
          <w:bCs/>
          <w:b/>
        </w:rPr>
        <w:t xml:space="preserve">Currency Volatility:</w:t>
      </w:r>
      <w:r>
        <w:t xml:space="preserve"> </w:t>
      </w:r>
      <w:r>
        <w:t xml:space="preserve">Fluctuations impacting tourist spending. Mitigation: Launched the "Currency Hedge Protection" product for tourism businesses, adopted by 37 companies in Q3.</w:t>
      </w:r>
    </w:p>
    <w:p>
      <w:pPr>
        <w:numPr>
          <w:ilvl w:val="0"/>
          <w:numId w:val="1001"/>
        </w:numPr>
        <w:pStyle w:val="Compact"/>
      </w:pPr>
      <w:r>
        <w:rPr>
          <w:bCs/>
          <w:b/>
        </w:rPr>
        <w:t xml:space="preserve">Competitive Pressure:</w:t>
      </w:r>
      <w:r>
        <w:t xml:space="preserve"> </w:t>
      </w:r>
      <w:r>
        <w:t xml:space="preserve">New fintech entrants targeting Alexandria's youth market. Counter-strategy: Implemented our "Alexandria Youth Banking" program with free financial literacy workshops at university campuses (2,100+ students engaged).</w:t>
      </w:r>
    </w:p>
    <w:bookmarkEnd w:id="27"/>
    <w:bookmarkStart w:id="28" w:name="X6e031b4e09b35aa2dc2c3dd6e5a1bdbad6434fe"/>
    <w:p>
      <w:pPr>
        <w:pStyle w:val="Heading2"/>
      </w:pPr>
      <w:r>
        <w:t xml:space="preserve">VI. Future Outlook &amp; Strategic Recommendations</w:t>
      </w:r>
    </w:p>
    <w:p>
      <w:pPr>
        <w:pStyle w:val="FirstParagraph"/>
      </w:pPr>
      <w:r>
        <w:t xml:space="preserve">This Sales Report concludes that Egypt Alexandria remains the most promising growth market for our Banker operations in Egypt. We project 35% commercial loan growth for Q4 2023, driven by:</w:t>
      </w:r>
    </w:p>
    <w:p>
      <w:pPr>
        <w:numPr>
          <w:ilvl w:val="0"/>
          <w:numId w:val="1002"/>
        </w:numPr>
        <w:pStyle w:val="Compact"/>
      </w:pPr>
      <w:r>
        <w:t xml:space="preserve">Expansion of the "Alexandria Industrial Corridor" financing package targeting new manufacturing zones</w:t>
      </w:r>
    </w:p>
    <w:p>
      <w:pPr>
        <w:numPr>
          <w:ilvl w:val="0"/>
          <w:numId w:val="1002"/>
        </w:numPr>
        <w:pStyle w:val="Compact"/>
      </w:pPr>
      <w:r>
        <w:t xml:space="preserve">Development of a dedicated "Alexandria Heritage Tourism Fund" supporting cultural site preservation projects</w:t>
      </w:r>
    </w:p>
    <w:p>
      <w:pPr>
        <w:numPr>
          <w:ilvl w:val="0"/>
          <w:numId w:val="1002"/>
        </w:numPr>
        <w:pStyle w:val="Compact"/>
      </w:pPr>
      <w:r>
        <w:t xml:space="preserve">Enhanced AI-driven customer segmentation using Alexandria's unique demographic data (72% youth population)</w:t>
      </w:r>
    </w:p>
    <w:p>
      <w:pPr>
        <w:pStyle w:val="FirstParagraph"/>
      </w:pPr>
      <w:r>
        <w:t xml:space="preserve">Our strategic recommendation: Allocate 15% of all national marketing budget to Alexandria-specific campaigns. The Banker team must continue prioritizing hyperlocal market intelligence – as demonstrated by our Q3 success where understanding the "Alexandria Summer Seasonality" directly boosted tourism product uptake.</w:t>
      </w:r>
    </w:p>
    <w:bookmarkEnd w:id="28"/>
    <w:bookmarkStart w:id="29" w:name="vii.-conclusion"/>
    <w:p>
      <w:pPr>
        <w:pStyle w:val="Heading2"/>
      </w:pPr>
      <w:r>
        <w:t xml:space="preserve">VII. Conclusion</w:t>
      </w:r>
    </w:p>
    <w:p>
      <w:pPr>
        <w:pStyle w:val="FirstParagraph"/>
      </w:pPr>
      <w:r>
        <w:t xml:space="preserve">The Q3 2023 Sales Report unequivocally proves that targeted banking in Egypt Alexandria delivers exceptional ROI. As a Banker operating within this vibrant city, we've transformed local market nuances into sustainable competitive advantage. Our Alexandria branch's 17% customer growth and record commercial portfolio expansion establish the region as the flagship model for all Egyptian banking operations. This Sales Report affirms that by embedding our Banker capabilities within Alexandria's economic DNA – from port logistics to tourism cycles – we secure not just market share, but long-term partnership with Egypt's most dynamic city. The success achieved in Egypt Alexandria demonstrates precisely why this location must remain central to our national growth strategy.</w:t>
      </w:r>
    </w:p>
    <w:p>
      <w:pPr>
        <w:pStyle w:val="BodyText"/>
      </w:pPr>
      <w:r>
        <w:rPr>
          <w:bCs/>
          <w:b/>
        </w:rPr>
        <w:t xml:space="preserve">Prepared by:</w:t>
      </w:r>
      <w:r>
        <w:t xml:space="preserve"> </w:t>
      </w:r>
      <w:r>
        <w:t xml:space="preserve">Alexandria Branch Sales Leadership</w:t>
      </w:r>
      <w:r>
        <w:br/>
      </w:r>
      <w:r>
        <w:rPr>
          <w:bCs/>
          <w:b/>
        </w:rPr>
        <w:t xml:space="preserve">Banker Performance Excellence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Operations in Egypt Alexandria</dc:title>
  <dc:creator/>
  <dc:language>en</dc:language>
  <cp:keywords/>
  <dcterms:created xsi:type="dcterms:W3CDTF">2026-07-23T23:12:43Z</dcterms:created>
  <dcterms:modified xsi:type="dcterms:W3CDTF">2026-07-23T23:12:43Z</dcterms:modified>
</cp:coreProperties>
</file>

<file path=docProps/custom.xml><?xml version="1.0" encoding="utf-8"?>
<Properties xmlns="http://schemas.openxmlformats.org/officeDocument/2006/custom-properties" xmlns:vt="http://schemas.openxmlformats.org/officeDocument/2006/docPropsVTypes"/>
</file>