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Analysis</w:t>
      </w:r>
      <w:r>
        <w:t xml:space="preserve"> </w:t>
      </w:r>
      <w:r>
        <w:t xml:space="preserve">-</w:t>
      </w:r>
      <w:r>
        <w:t xml:space="preserve"> </w:t>
      </w:r>
      <w:r>
        <w:t xml:space="preserve">France</w:t>
      </w:r>
      <w:r>
        <w:t xml:space="preserve"> </w:t>
      </w:r>
      <w:r>
        <w:t xml:space="preserve">Marseille</w:t>
      </w:r>
    </w:p>
    <w:bookmarkStart w:id="27" w:name="X914e2ab800226553983a81dec38544583be0db5"/>
    <w:p>
      <w:pPr>
        <w:pStyle w:val="Heading1"/>
      </w:pPr>
      <w:r>
        <w:t xml:space="preserve">Sales Report: Strategic Performance of Banking Services in France Marseille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French Banking Division</w:t>
      </w:r>
      <w:r>
        <w:br/>
      </w:r>
      <w:r>
        <w:rPr>
          <w:bCs/>
          <w:b/>
        </w:rPr>
        <w:t xml:space="preserve">Prepared By:</w:t>
      </w:r>
      <w:r>
        <w:t xml:space="preserve"> </w:t>
      </w:r>
      <w:r>
        <w:t xml:space="preserve">Regional Sales Strategy Team</w:t>
      </w:r>
    </w:p>
    <w:bookmarkStart w:id="20" w:name="i.-executive-summary"/>
    <w:p>
      <w:pPr>
        <w:pStyle w:val="Heading2"/>
      </w:pPr>
      <w:r>
        <w:t xml:space="preserve">I. Executive Summary</w:t>
      </w:r>
    </w:p>
    <w:p>
      <w:pPr>
        <w:pStyle w:val="FirstParagraph"/>
      </w:pPr>
      <w:r>
        <w:t xml:space="preserve">This Sales Report details the performance of our banking services in France Marseille during Q3 2023, emphasizing the critical role of dedicated Banker-client relationships in driving revenue growth within this dynamic Mediterranean hub. Marseille, as France's second-largest city and a major economic gateway to Africa and Europe, delivered exceptional results through strategic client acquisition and tailored financial solutions. Our Marseille-based Bankers achieved a 18.7% year-over-year increase in cross-sold products, directly contributing to a €42 million portfolio growth within the region. This report underscores how localized banking expertise—specifically from our Marseille Bankers—has become indispensable for sustainable market expansion.</w:t>
      </w:r>
    </w:p>
    <w:bookmarkEnd w:id="20"/>
    <w:bookmarkStart w:id="21" w:name="X02b885b9ecb1d33eb1cdfaa9db9c645b1fb5034"/>
    <w:p>
      <w:pPr>
        <w:pStyle w:val="Heading2"/>
      </w:pPr>
      <w:r>
        <w:t xml:space="preserve">II. Market Context: France Marseille Economic Landscape</w:t>
      </w:r>
    </w:p>
    <w:p>
      <w:pPr>
        <w:pStyle w:val="FirstParagraph"/>
      </w:pPr>
      <w:r>
        <w:t xml:space="preserve">Marseille’s unique position as a port city handling 30% of France’s maritime trade (source: French National Statistics Office, INSEE) creates distinct opportunities for banking services. The city's economy is driven by:</w:t>
      </w:r>
    </w:p>
    <w:p>
      <w:pPr>
        <w:numPr>
          <w:ilvl w:val="0"/>
          <w:numId w:val="1001"/>
        </w:numPr>
        <w:pStyle w:val="Compact"/>
      </w:pPr>
      <w:r>
        <w:rPr>
          <w:bCs/>
          <w:b/>
        </w:rPr>
        <w:t xml:space="preserve">Port Logistics &amp; Trade:</w:t>
      </w:r>
      <w:r>
        <w:t xml:space="preserve"> </w:t>
      </w:r>
      <w:r>
        <w:t xml:space="preserve">Over 250 multinational firms rely on Marseille's infrastructure, demanding sophisticated trade finance solutions.</w:t>
      </w:r>
    </w:p>
    <w:p>
      <w:pPr>
        <w:numPr>
          <w:ilvl w:val="0"/>
          <w:numId w:val="1001"/>
        </w:numPr>
        <w:pStyle w:val="Compact"/>
      </w:pPr>
      <w:r>
        <w:rPr>
          <w:bCs/>
          <w:b/>
        </w:rPr>
        <w:t xml:space="preserve">Tourism &amp; Hospitality:</w:t>
      </w:r>
      <w:r>
        <w:t xml:space="preserve"> </w:t>
      </w:r>
      <w:r>
        <w:t xml:space="preserve">38 million annual visitors fuel SMEs requiring seasonal liquidity management.</w:t>
      </w:r>
    </w:p>
    <w:p>
      <w:pPr>
        <w:numPr>
          <w:ilvl w:val="0"/>
          <w:numId w:val="1001"/>
        </w:numPr>
        <w:pStyle w:val="Compact"/>
      </w:pPr>
      <w:r>
        <w:rPr>
          <w:bCs/>
          <w:b/>
        </w:rPr>
        <w:t xml:space="preserve">SME Ecosystem:</w:t>
      </w:r>
      <w:r>
        <w:t xml:space="preserve"> </w:t>
      </w:r>
      <w:r>
        <w:t xml:space="preserve">95% of Marseille businesses are micro/small enterprises needing tailored credit lines and digital banking tools.</w:t>
      </w:r>
    </w:p>
    <w:p>
      <w:pPr>
        <w:pStyle w:val="FirstParagraph"/>
      </w:pPr>
      <w:r>
        <w:t xml:space="preserve">Our Sales Report confirms that Marseille's economic volatility—exacerbated by energy costs and post-pandemic recovery—demands Bankers who understand local nuances. For instance, a Marseille Banker identified a niche opportunity in securing €1.2M in trade finance for a seafood exporter leveraging the Vieux Port’s logistics network, directly addressing city-specific market gaps.</w:t>
      </w:r>
    </w:p>
    <w:bookmarkEnd w:id="21"/>
    <w:bookmarkStart w:id="22" w:name="Xee472cd6e06362f6f935292585264a02f0c42e9"/>
    <w:p>
      <w:pPr>
        <w:pStyle w:val="Heading2"/>
      </w:pPr>
      <w:r>
        <w:t xml:space="preserve">III. Sales Performance: Marseille-Based Banker Impact</w:t>
      </w:r>
    </w:p>
    <w:p>
      <w:pPr>
        <w:pStyle w:val="FirstParagraph"/>
      </w:pPr>
      <w:r>
        <w:t xml:space="preserve">Key metrics demonstrating our Bankers' success in France Marseille:</w:t>
      </w:r>
    </w:p>
    <w:p>
      <w:pPr>
        <w:pStyle w:val="BodyText"/>
      </w:pPr>
      <w:r>
        <w:t xml:space="preserve">KPI</w:t>
      </w:r>
    </w:p>
    <w:p>
      <w:pPr>
        <w:pStyle w:val="BodyText"/>
      </w:pPr>
      <w:r>
        <w:t xml:space="preserve">Q3 2023 (Marseille)</w:t>
      </w:r>
    </w:p>
    <w:p>
      <w:pPr>
        <w:pStyle w:val="BodyText"/>
      </w:pPr>
      <w:r>
        <w:t xml:space="preserve">YoY Change</w:t>
      </w:r>
    </w:p>
    <w:p>
      <w:pPr>
        <w:pStyle w:val="BodyText"/>
      </w:pPr>
      <w:r>
        <w:t xml:space="preserve">Total New Client Acquisitions</w:t>
      </w:r>
    </w:p>
    <w:p>
      <w:pPr>
        <w:pStyle w:val="BodyText"/>
      </w:pPr>
      <w:r>
        <w:t xml:space="preserve">87</w:t>
      </w:r>
    </w:p>
    <w:p>
      <w:pPr>
        <w:pStyle w:val="BodyText"/>
      </w:pPr>
      <w:r>
        <w:t xml:space="preserve">+24%</w:t>
      </w:r>
    </w:p>
    <w:p>
      <w:pPr>
        <w:pStyle w:val="BodyText"/>
      </w:pPr>
      <w:r>
        <w:t xml:space="preserve">Portfolio Growth (€M)</w:t>
      </w:r>
    </w:p>
    <w:p>
      <w:pPr>
        <w:pStyle w:val="BodyText"/>
      </w:pPr>
      <w:r>
        <w:t xml:space="preserve">42.0</w:t>
      </w:r>
    </w:p>
    <w:p>
      <w:pPr>
        <w:pStyle w:val="BodyText"/>
      </w:pPr>
      <w:r>
        <w:t xml:space="preserve">+18.7%</w:t>
      </w:r>
    </w:p>
    <w:p>
      <w:pPr>
        <w:pStyle w:val="BodyText"/>
      </w:pPr>
      <w:r>
        <w:t xml:space="preserve">Cross-Sell Rate per Client</w:t>
      </w:r>
    </w:p>
    <w:p>
      <w:pPr>
        <w:pStyle w:val="BodyText"/>
      </w:pPr>
      <w:r>
        <w:t xml:space="preserve">3.2 products</w:t>
      </w:r>
    </w:p>
    <w:p>
      <w:pPr>
        <w:pStyle w:val="BodyText"/>
      </w:pPr>
      <w:r>
        <w:t xml:space="preserve">+15%</w:t>
      </w:r>
    </w:p>
    <w:p>
      <w:pPr>
        <w:pStyle w:val="BodyText"/>
      </w:pPr>
      <w:r>
        <w:t xml:space="preserve">SME Loan Approvals</w:t>
      </w:r>
    </w:p>
    <w:p>
      <w:pPr>
        <w:pStyle w:val="BodyText"/>
      </w:pPr>
      <w:r>
        <w:t xml:space="preserve">59 (68% of total)</w:t>
      </w:r>
    </w:p>
    <w:p>
      <w:pPr>
        <w:pStyle w:val="BodyText"/>
      </w:pPr>
      <w:r>
        <w:t xml:space="preserve">+31%</w:t>
      </w:r>
    </w:p>
    <w:p>
      <w:pPr>
        <w:pStyle w:val="BodyText"/>
      </w:pPr>
      <w:r>
        <w:t xml:space="preserve">The success stems from our Marseille Bankers' hyper-local approach. For example, a Banker assigned to the Canal Sainte-Marie industrial zone conducted monthly "banking clinics" at local business associations, resulting in 22 new SME partnerships. This contrasts with Paris-based teams who lacked contextual understanding of Marseille’s port-driven economy.</w:t>
      </w:r>
    </w:p>
    <w:bookmarkEnd w:id="22"/>
    <w:bookmarkStart w:id="23" w:name="Xc7f121953e5897b5b3b4cd0fd5c24f914e5d2ae"/>
    <w:p>
      <w:pPr>
        <w:pStyle w:val="Heading2"/>
      </w:pPr>
      <w:r>
        <w:t xml:space="preserve">IV. Key Strategies Driving Results in France Marseille</w:t>
      </w:r>
    </w:p>
    <w:p>
      <w:pPr>
        <w:pStyle w:val="FirstParagraph"/>
      </w:pPr>
      <w:r>
        <w:t xml:space="preserve">Our Sales Report identifies three banker-led strategies that defined Marseille's Q3 performance:</w:t>
      </w:r>
    </w:p>
    <w:p>
      <w:pPr>
        <w:numPr>
          <w:ilvl w:val="0"/>
          <w:numId w:val="1002"/>
        </w:numPr>
        <w:pStyle w:val="Compact"/>
      </w:pPr>
      <w:r>
        <w:rPr>
          <w:bCs/>
          <w:b/>
        </w:rPr>
        <w:t xml:space="preserve">Cultural Integration:</w:t>
      </w:r>
      <w:r>
        <w:t xml:space="preserve"> </w:t>
      </w:r>
      <w:r>
        <w:t xml:space="preserve">Bankers attended Marseillaise cultural events (e.g., Fête de la Musique, Les Nuits de la Méditerranée) to build trust. This resulted in 73% of new clients citing "relationship comfort" as their primary acquisition factor.</w:t>
      </w:r>
    </w:p>
    <w:p>
      <w:pPr>
        <w:numPr>
          <w:ilvl w:val="0"/>
          <w:numId w:val="1002"/>
        </w:numPr>
        <w:pStyle w:val="Compact"/>
      </w:pPr>
      <w:r>
        <w:rPr>
          <w:bCs/>
          <w:b/>
        </w:rPr>
        <w:t xml:space="preserve">Regulatory Navigation:</w:t>
      </w:r>
      <w:r>
        <w:t xml:space="preserve"> </w:t>
      </w:r>
      <w:r>
        <w:t xml:space="preserve">Marseille’s unique commercial laws (e.g., specific port tax regulations) required Bankers to collaborate with local legal firms. Our Marseille-based team reduced loan processing time by 40% through these partnerships.</w:t>
      </w:r>
    </w:p>
    <w:p>
      <w:pPr>
        <w:numPr>
          <w:ilvl w:val="0"/>
          <w:numId w:val="1002"/>
        </w:numPr>
        <w:pStyle w:val="Compact"/>
      </w:pPr>
      <w:r>
        <w:rPr>
          <w:bCs/>
          <w:b/>
        </w:rPr>
        <w:t xml:space="preserve">Digital Localization:</w:t>
      </w:r>
      <w:r>
        <w:t xml:space="preserve"> </w:t>
      </w:r>
      <w:r>
        <w:t xml:space="preserve">While French banking mandates national digital standards, our Marseille Bankers developed SMS-based cash flow alerts for clients without reliable internet access—a feature requested by 89% of local SMEs in a recent survey.</w:t>
      </w:r>
    </w:p>
    <w:bookmarkEnd w:id="23"/>
    <w:bookmarkStart w:id="24" w:name="X140ba0ddc227386deafe4bb8d28a8020953cd1f"/>
    <w:p>
      <w:pPr>
        <w:pStyle w:val="Heading2"/>
      </w:pPr>
      <w:r>
        <w:t xml:space="preserve">V. Challenges &amp; Mitigation (France Marseille Focus)</w:t>
      </w:r>
    </w:p>
    <w:p>
      <w:pPr>
        <w:pStyle w:val="FirstParagraph"/>
      </w:pPr>
      <w:r>
        <w:t xml:space="preserve">Despite strong growth, two Marseille-specific challenges emerged:</w:t>
      </w:r>
    </w:p>
    <w:p>
      <w:pPr>
        <w:numPr>
          <w:ilvl w:val="0"/>
          <w:numId w:val="1003"/>
        </w:numPr>
        <w:pStyle w:val="Compact"/>
      </w:pPr>
      <w:r>
        <w:rPr>
          <w:bCs/>
          <w:b/>
        </w:rPr>
        <w:t xml:space="preserve">Competition from Regional Banks:</w:t>
      </w:r>
      <w:r>
        <w:t xml:space="preserve"> </w:t>
      </w:r>
      <w:r>
        <w:t xml:space="preserve">Local institutions like Banque Populaire Provence leveraged municipal partnerships. Our response: Dedicated Bankers created a "Marseille Exporter Club" offering free access to EU trade databases, securing 15 competitive accounts.</w:t>
      </w:r>
    </w:p>
    <w:p>
      <w:pPr>
        <w:numPr>
          <w:ilvl w:val="0"/>
          <w:numId w:val="1003"/>
        </w:numPr>
        <w:pStyle w:val="Compact"/>
      </w:pPr>
      <w:r>
        <w:rPr>
          <w:bCs/>
          <w:b/>
        </w:rPr>
        <w:t xml:space="preserve">Client Risk Perception:</w:t>
      </w:r>
      <w:r>
        <w:t xml:space="preserve"> </w:t>
      </w:r>
      <w:r>
        <w:t xml:space="preserve">Post-2022 economic uncertainty made SMEs hesitant about new credit. Solution: Bankers introduced flexible repayment plans tied to tourism seasons (e.g., adjusted terms during summer holidays), boosting client retention by 37%.</w:t>
      </w:r>
    </w:p>
    <w:bookmarkEnd w:id="24"/>
    <w:bookmarkStart w:id="25" w:name="X51f698a0cbb87cc4319b60fdc52adec39fbc230"/>
    <w:p>
      <w:pPr>
        <w:pStyle w:val="Heading2"/>
      </w:pPr>
      <w:r>
        <w:t xml:space="preserve">VI. Future Outlook: Scaling Marseille’s Model Across France</w:t>
      </w:r>
    </w:p>
    <w:p>
      <w:pPr>
        <w:pStyle w:val="FirstParagraph"/>
      </w:pPr>
      <w:r>
        <w:t xml:space="preserve">This Sales Report confirms that Marseille’s success is replicable but requires localized banking talent. Our recommendations for 2024:</w:t>
      </w:r>
    </w:p>
    <w:p>
      <w:pPr>
        <w:numPr>
          <w:ilvl w:val="0"/>
          <w:numId w:val="1004"/>
        </w:numPr>
        <w:pStyle w:val="Compact"/>
      </w:pPr>
      <w:r>
        <w:rPr>
          <w:bCs/>
          <w:b/>
        </w:rPr>
        <w:t xml:space="preserve">Expand Banker Training:</w:t>
      </w:r>
      <w:r>
        <w:t xml:space="preserve"> </w:t>
      </w:r>
      <w:r>
        <w:t xml:space="preserve">Develop a "Marseille Curriculum" covering port economics, local tax codes, and cultural engagement—now piloting in Lyon.</w:t>
      </w:r>
    </w:p>
    <w:p>
      <w:pPr>
        <w:numPr>
          <w:ilvl w:val="0"/>
          <w:numId w:val="1004"/>
        </w:numPr>
        <w:pStyle w:val="Compact"/>
      </w:pPr>
      <w:r>
        <w:rPr>
          <w:bCs/>
          <w:b/>
        </w:rPr>
        <w:t xml:space="preserve">Invest in Marseille-Specific Tech:</w:t>
      </w:r>
      <w:r>
        <w:t xml:space="preserve"> </w:t>
      </w:r>
      <w:r>
        <w:t xml:space="preserve">Deploy AI tools analyzing port traffic data to predict SME cash flow needs (e.g., anticipating demand spikes during Cannes Film Festival).</w:t>
      </w:r>
    </w:p>
    <w:p>
      <w:pPr>
        <w:numPr>
          <w:ilvl w:val="0"/>
          <w:numId w:val="1004"/>
        </w:numPr>
        <w:pStyle w:val="Compact"/>
      </w:pPr>
      <w:r>
        <w:rPr>
          <w:bCs/>
          <w:b/>
        </w:rPr>
        <w:t xml:space="preserve">Targeted Client Segments:</w:t>
      </w:r>
      <w:r>
        <w:t xml:space="preserve"> </w:t>
      </w:r>
      <w:r>
        <w:t xml:space="preserve">Prioritize maritime logistics firms and tourism service providers—projects generating 28% of Marseille’s GDP (source: Marseille Economic Observatory).</w:t>
      </w:r>
    </w:p>
    <w:bookmarkEnd w:id="25"/>
    <w:bookmarkStart w:id="26" w:name="vii.-conclusion"/>
    <w:p>
      <w:pPr>
        <w:pStyle w:val="Heading2"/>
      </w:pPr>
      <w:r>
        <w:t xml:space="preserve">VII. Conclusion</w:t>
      </w:r>
    </w:p>
    <w:p>
      <w:pPr>
        <w:pStyle w:val="FirstParagraph"/>
      </w:pPr>
      <w:r>
        <w:t xml:space="preserve">The France Marseille market has proven that a Banker’s deep contextual understanding directly correlates with sales velocity. Our Q3 results demonstrate that when a Banker embeds themselves within local economic rhythms—whether through port logistics expertise, cultural fluency, or adaptive product design—the Sales Report consistently reflects accelerated growth. As Marseille evolves as France’s primary Mediterranean business gateway, our Marseille-based Bankers will remain pivotal to delivering tailored financial solutions that drive both client success and institutional revenue. We recommend allocating 35% of 2024 regional sales training budget to replicating the Marseille model across other French coastal cities, where localized banking expertise is increasingly non-negotiable for market leadership.</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Banker Performance Analysis - France Marseille</dc:title>
  <dc:creator/>
  <cp:keywords/>
  <dcterms:created xsi:type="dcterms:W3CDTF">2026-07-23T19:42:08Z</dcterms:created>
  <dcterms:modified xsi:type="dcterms:W3CDTF">2026-07-23T19:42:08Z</dcterms:modified>
</cp:coreProperties>
</file>

<file path=docProps/custom.xml><?xml version="1.0" encoding="utf-8"?>
<Properties xmlns="http://schemas.openxmlformats.org/officeDocument/2006/custom-properties" xmlns:vt="http://schemas.openxmlformats.org/officeDocument/2006/docPropsVTypes"/>
</file>