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Sales</w:t>
      </w:r>
      <w:r>
        <w:t xml:space="preserve"> </w:t>
      </w:r>
      <w:r>
        <w:t xml:space="preserve">Report</w:t>
      </w:r>
      <w:r>
        <w:t xml:space="preserve"> </w:t>
      </w:r>
      <w:r>
        <w:t xml:space="preserve">|</w:t>
      </w:r>
      <w:r>
        <w:t xml:space="preserve"> </w:t>
      </w:r>
      <w:r>
        <w:t xml:space="preserve">Banking</w:t>
      </w:r>
      <w:r>
        <w:t xml:space="preserve"> </w:t>
      </w:r>
      <w:r>
        <w:t xml:space="preserve">Performance</w:t>
      </w:r>
      <w:r>
        <w:t xml:space="preserve"> </w:t>
      </w:r>
      <w:r>
        <w:t xml:space="preserve">Analysis</w:t>
      </w:r>
    </w:p>
    <w:bookmarkStart w:id="27" w:name="Xd42f856791e4d9c634f7162b5073d5da07fdf9e"/>
    <w:p>
      <w:pPr>
        <w:pStyle w:val="Heading1"/>
      </w:pPr>
      <w:r>
        <w:t xml:space="preserve">Comprehensive Sales Report: Banking Performance Analysis for France Paris (Q3 2023)</w:t>
      </w:r>
    </w:p>
    <w:p>
      <w:pPr>
        <w:pStyle w:val="FirstParagraph"/>
      </w:pPr>
      <w:r>
        <w:t xml:space="preserve">This official Sales Report details the performance metrics, strategic initiatives, and market insights of our premier banking professionals operating across France Paris. As a leading financial institution serving the dynamic Parisian market, we maintain rigorous sales reporting protocols that directly align with both global banking standards and local regulatory requirements. This document serves as a critical tool for our</w:t>
      </w:r>
      <w:r>
        <w:t xml:space="preserve"> </w:t>
      </w:r>
      <w:r>
        <w:rPr>
          <w:bCs/>
          <w:b/>
        </w:rPr>
        <w:t xml:space="preserve">Banker</w:t>
      </w:r>
      <w:r>
        <w:t xml:space="preserve"> </w:t>
      </w:r>
      <w:r>
        <w:t xml:space="preserve">teams to optimize client relationships, drive revenue growth, and navigate the complexities of the French financial landscape in capital city operations.</w:t>
      </w:r>
    </w:p>
    <w:p>
      <w:pPr>
        <w:pStyle w:val="BodyText"/>
      </w:pPr>
      <w:r>
        <w:rPr>
          <w:bCs/>
          <w:b/>
        </w:rPr>
        <w:t xml:space="preserve">Executive Summary:</w:t>
      </w:r>
      <w:r>
        <w:t xml:space="preserve"> </w:t>
      </w:r>
      <w:r>
        <w:t xml:space="preserve">The France Paris banking division achieved 108% of quarterly sales targets through strategic client acquisition and portfolio optimization. Key drivers included high-net-worth individual (HNWI) onboarding (+27% YoY), corporate lending expansion, and digital product adoption across Parisian markets. This Sales Report confirms our</w:t>
      </w:r>
      <w:r>
        <w:t xml:space="preserve"> </w:t>
      </w:r>
      <w:r>
        <w:rPr>
          <w:bCs/>
          <w:b/>
        </w:rPr>
        <w:t xml:space="preserve">Banker</w:t>
      </w:r>
      <w:r>
        <w:t xml:space="preserve"> </w:t>
      </w:r>
      <w:r>
        <w:t xml:space="preserve">teams' exceptional market penetration within France Paris, outperforming regional benchmarks by 19%.</w:t>
      </w:r>
    </w:p>
    <w:bookmarkStart w:id="20" w:name="X77a810850c94f6fb123dcdfd60c2428a4e54c19"/>
    <w:p>
      <w:pPr>
        <w:pStyle w:val="Heading2"/>
      </w:pPr>
      <w:r>
        <w:t xml:space="preserve">Key Performance Indicators: France Paris Market Analysis</w:t>
      </w:r>
    </w:p>
    <w:p>
      <w:pPr>
        <w:pStyle w:val="FirstParagraph"/>
      </w:pPr>
      <w:r>
        <w:t xml:space="preserve">The Q3 Sales Report reveals robust performance metrics across all service lines operated by our Paris-based</w:t>
      </w:r>
      <w:r>
        <w:t xml:space="preserve"> </w:t>
      </w:r>
      <w:r>
        <w:rPr>
          <w:bCs/>
          <w:b/>
        </w:rPr>
        <w:t xml:space="preserve">Banker</w:t>
      </w:r>
      <w:r>
        <w:t xml:space="preserve"> </w:t>
      </w:r>
      <w:r>
        <w:t xml:space="preserve">network. In France Paris, where 68% of national banking revenue originates, we recorded €142 million in new business volume – a 15% increase from Q2. The Sales Report identifies three critical success areas: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New Client Acquisition (Paris)</w:t>
            </w:r>
          </w:p>
        </w:tc>
        <w:tc>
          <w:tcPr/>
          <w:p>
            <w:pPr>
              <w:pStyle w:val="Compact"/>
              <w:jc w:val="left"/>
            </w:pPr>
            <w:r>
              <w:t xml:space="preserve">417 new accounts</w:t>
            </w:r>
          </w:p>
        </w:tc>
        <w:tc>
          <w:tcPr/>
          <w:p>
            <w:pPr>
              <w:pStyle w:val="Compact"/>
              <w:jc w:val="left"/>
            </w:pPr>
            <w:r>
              <w:t xml:space="preserve">345 new accounts</w:t>
            </w:r>
          </w:p>
        </w:tc>
        <w:tc>
          <w:tcPr/>
          <w:p>
            <w:pPr>
              <w:pStyle w:val="Compact"/>
              <w:jc w:val="left"/>
            </w:pPr>
            <w:r>
              <w:t xml:space="preserve">+20.9%</w:t>
            </w:r>
          </w:p>
        </w:tc>
      </w:tr>
      <w:tr>
        <w:tc>
          <w:tcPr/>
          <w:p>
            <w:pPr>
              <w:pStyle w:val="Compact"/>
              <w:jc w:val="left"/>
            </w:pPr>
            <w:r>
              <w:t xml:space="preserve">Portfolio Growth (HNWI)</w:t>
            </w:r>
          </w:p>
        </w:tc>
        <w:tc>
          <w:tcPr/>
          <w:p>
            <w:pPr>
              <w:pStyle w:val="Compact"/>
              <w:jc w:val="left"/>
            </w:pPr>
            <w:r>
              <w:t xml:space="preserve">€78M AUM</w:t>
            </w:r>
          </w:p>
        </w:tc>
        <w:tc>
          <w:tcPr/>
          <w:p>
            <w:pPr>
              <w:pStyle w:val="Compact"/>
              <w:jc w:val="left"/>
            </w:pPr>
            <w:r>
              <w:t xml:space="preserve">€61M AUM</w:t>
            </w:r>
          </w:p>
        </w:tc>
        <w:tc>
          <w:tcPr/>
          <w:p>
            <w:pPr>
              <w:pStyle w:val="Compact"/>
              <w:jc w:val="left"/>
            </w:pPr>
            <w:r>
              <w:t xml:space="preserve">+27.9%</w:t>
            </w:r>
          </w:p>
        </w:tc>
      </w:tr>
      <w:tr>
        <w:tc>
          <w:tcPr/>
          <w:p>
            <w:pPr>
              <w:pStyle w:val="Compact"/>
              <w:jc w:val="left"/>
            </w:pPr>
            <w:r>
              <w:t xml:space="preserve">Digital Product Adoption</w:t>
            </w:r>
          </w:p>
        </w:tc>
        <w:tc>
          <w:tcPr/>
          <w:p>
            <w:pPr>
              <w:pStyle w:val="Compact"/>
              <w:jc w:val="left"/>
            </w:pPr>
            <w:r>
              <w:t xml:space="preserve">3,200+ clients</w:t>
            </w:r>
          </w:p>
        </w:tc>
        <w:tc>
          <w:tcPr/>
          <w:p>
            <w:pPr>
              <w:pStyle w:val="Compact"/>
              <w:jc w:val="left"/>
            </w:pPr>
            <w:r>
              <w:t xml:space="preserve">1,850 clients</w:t>
            </w:r>
          </w:p>
        </w:tc>
        <w:tc>
          <w:tcPr/>
          <w:p>
            <w:pPr>
              <w:pStyle w:val="Compact"/>
              <w:jc w:val="left"/>
            </w:pPr>
            <w:r>
              <w:t xml:space="preserve">+73.5%</w:t>
            </w:r>
          </w:p>
        </w:tc>
      </w:tr>
    </w:tbl>
    <w:p>
      <w:pPr>
        <w:pStyle w:val="BodyText"/>
      </w:pPr>
      <w:r>
        <w:t xml:space="preserve">These metrics underscore the effectiveness of our Paris-specific sales strategy. Our</w:t>
      </w:r>
      <w:r>
        <w:t xml:space="preserve"> </w:t>
      </w:r>
      <w:r>
        <w:rPr>
          <w:bCs/>
          <w:b/>
        </w:rPr>
        <w:t xml:space="preserve">Banker</w:t>
      </w:r>
      <w:r>
        <w:t xml:space="preserve"> </w:t>
      </w:r>
      <w:r>
        <w:t xml:space="preserve">professionals leveraged localized market knowledge – particularly regarding Paris's luxury sector, startup ecosystem, and real estate investments – to tailor solutions that resonated with high-value clients. The Sales Report further indicates that 63% of new business came from referrals within France Paris's elite business circles, reflecting strong trust in our</w:t>
      </w:r>
      <w:r>
        <w:t xml:space="preserve"> </w:t>
      </w:r>
      <w:r>
        <w:rPr>
          <w:bCs/>
          <w:b/>
        </w:rPr>
        <w:t xml:space="preserve">Banker</w:t>
      </w:r>
      <w:r>
        <w:t xml:space="preserve"> </w:t>
      </w:r>
      <w:r>
        <w:t xml:space="preserve">network.</w:t>
      </w:r>
    </w:p>
    <w:bookmarkEnd w:id="20"/>
    <w:bookmarkStart w:id="24" w:name="X78f6643d4ae636bf01f83851ebdbae79ee00d45"/>
    <w:p>
      <w:pPr>
        <w:pStyle w:val="Heading2"/>
      </w:pPr>
      <w:r>
        <w:t xml:space="preserve">Strategic Initiatives Driving Success in France Paris</w:t>
      </w:r>
    </w:p>
    <w:p>
      <w:pPr>
        <w:pStyle w:val="FirstParagraph"/>
      </w:pPr>
      <w:r>
        <w:t xml:space="preserve">The Sales Report highlights three transformative initiatives executed by our Paris-based teams:</w:t>
      </w:r>
    </w:p>
    <w:bookmarkStart w:id="21" w:name="luxury-client-acquisition-program"/>
    <w:p>
      <w:pPr>
        <w:pStyle w:val="Heading3"/>
      </w:pPr>
      <w:r>
        <w:t xml:space="preserve">1. Luxury Client Acquisition Program</w:t>
      </w:r>
    </w:p>
    <w:p>
      <w:pPr>
        <w:pStyle w:val="FirstParagraph"/>
      </w:pPr>
      <w:r>
        <w:t xml:space="preserve">In response to demand from France Paris's luxury market, we developed the "Paris Prestige Circle" offering. This specialized service package for high-net-worth individuals (including art collectors, fashion magnates, and family offices) delivered 22% above target acquisition rates. Our</w:t>
      </w:r>
      <w:r>
        <w:t xml:space="preserve"> </w:t>
      </w:r>
      <w:r>
        <w:rPr>
          <w:bCs/>
          <w:b/>
        </w:rPr>
        <w:t xml:space="preserve">Banker</w:t>
      </w:r>
      <w:r>
        <w:t xml:space="preserve"> </w:t>
      </w:r>
      <w:r>
        <w:t xml:space="preserve">team created bespoke financial solutions aligned with Parisian cultural preferences – such as inheritance planning for historic estates and tax-efficient wealth transfer structures. The Sales Report confirms this initiative generated €38M in new assets within three months.</w:t>
      </w:r>
    </w:p>
    <w:bookmarkEnd w:id="21"/>
    <w:bookmarkStart w:id="22" w:name="digital-onboarding-optimization"/>
    <w:p>
      <w:pPr>
        <w:pStyle w:val="Heading3"/>
      </w:pPr>
      <w:r>
        <w:t xml:space="preserve">2. Digital Onboarding Optimization</w:t>
      </w:r>
    </w:p>
    <w:p>
      <w:pPr>
        <w:pStyle w:val="FirstParagraph"/>
      </w:pPr>
      <w:r>
        <w:t xml:space="preserve">Recognizing France Paris's tech-savvy demographic, our</w:t>
      </w:r>
      <w:r>
        <w:t xml:space="preserve"> </w:t>
      </w:r>
      <w:r>
        <w:rPr>
          <w:bCs/>
          <w:b/>
        </w:rPr>
        <w:t xml:space="preserve">Banker</w:t>
      </w:r>
      <w:r>
        <w:t xml:space="preserve"> </w:t>
      </w:r>
      <w:r>
        <w:t xml:space="preserve">teams implemented a mobile-first onboarding process integrated with French regulatory standards (including Loi Sapin II compliance). This reduced client onboarding time from 14 to 5 business days. The Sales Report shows digital adoption surged by 73.5% in Paris, with our</w:t>
      </w:r>
      <w:r>
        <w:t xml:space="preserve"> </w:t>
      </w:r>
      <w:r>
        <w:rPr>
          <w:bCs/>
          <w:b/>
        </w:rPr>
        <w:t xml:space="preserve">Banker</w:t>
      </w:r>
      <w:r>
        <w:t xml:space="preserve"> </w:t>
      </w:r>
      <w:r>
        <w:t xml:space="preserve">professionals achieving a 92% satisfaction rate for digital solutions – exceeding the global average by 28 percentage points.</w:t>
      </w:r>
    </w:p>
    <w:bookmarkEnd w:id="22"/>
    <w:bookmarkStart w:id="23" w:name="corporate-finance-expansion"/>
    <w:p>
      <w:pPr>
        <w:pStyle w:val="Heading3"/>
      </w:pPr>
      <w:r>
        <w:t xml:space="preserve">3. Corporate Finance Expansion</w:t>
      </w:r>
    </w:p>
    <w:p>
      <w:pPr>
        <w:pStyle w:val="FirstParagraph"/>
      </w:pPr>
      <w:r>
        <w:t xml:space="preserve">Focused on France Paris's startup ecosystem (particularly in La Défense and Le Marais), our corporate</w:t>
      </w:r>
      <w:r>
        <w:t xml:space="preserve"> </w:t>
      </w:r>
      <w:r>
        <w:rPr>
          <w:bCs/>
          <w:b/>
        </w:rPr>
        <w:t xml:space="preserve">Banker</w:t>
      </w:r>
      <w:r>
        <w:t xml:space="preserve"> </w:t>
      </w:r>
      <w:r>
        <w:t xml:space="preserve">team launched the "Paris Innovation Fund" targeting scaling tech companies. This initiative generated 17 new corporate clients in Q3, including two unicorns previously served by competing banks. The Sales Report attributes this success to our</w:t>
      </w:r>
      <w:r>
        <w:t xml:space="preserve"> </w:t>
      </w:r>
      <w:r>
        <w:rPr>
          <w:bCs/>
          <w:b/>
        </w:rPr>
        <w:t xml:space="preserve">Banker</w:t>
      </w:r>
      <w:r>
        <w:t xml:space="preserve">'s deep understanding of Paris's venture capital landscape and tailored financing options.</w:t>
      </w:r>
    </w:p>
    <w:bookmarkEnd w:id="23"/>
    <w:bookmarkEnd w:id="24"/>
    <w:bookmarkStart w:id="25" w:name="X33d31435f50bede7ea1b8af72d4e4812081683f"/>
    <w:p>
      <w:pPr>
        <w:pStyle w:val="Heading2"/>
      </w:pPr>
      <w:r>
        <w:t xml:space="preserve">Market Challenges and Adaptive Strategies</w:t>
      </w:r>
    </w:p>
    <w:p>
      <w:pPr>
        <w:pStyle w:val="FirstParagraph"/>
      </w:pPr>
      <w:r>
        <w:t xml:space="preserve">The France Paris banking environment presents unique challenges reflected in the Sales Report. Rising regulatory complexity (especially with GDPR-compliant data handling) and competition from French fintechs required agile adaptation. Our Paris</w:t>
      </w:r>
      <w:r>
        <w:t xml:space="preserve"> </w:t>
      </w:r>
      <w:r>
        <w:rPr>
          <w:bCs/>
          <w:b/>
        </w:rPr>
        <w:t xml:space="preserve">Banker</w:t>
      </w:r>
      <w:r>
        <w:t xml:space="preserve"> </w:t>
      </w:r>
      <w:r>
        <w:t xml:space="preserve">teams implemented weekly compliance training sessions, reducing documentation errors by 41%. The Sales Report also notes that during the Q3 economic uncertainty period, our</w:t>
      </w:r>
      <w:r>
        <w:t xml:space="preserve"> </w:t>
      </w:r>
      <w:r>
        <w:rPr>
          <w:bCs/>
          <w:b/>
        </w:rPr>
        <w:t xml:space="preserve">Banker</w:t>
      </w:r>
      <w:r>
        <w:t xml:space="preserve">'s proactive risk management counseling prevented 92% of potential client exits.</w:t>
      </w:r>
    </w:p>
    <w:bookmarkEnd w:id="25"/>
    <w:bookmarkStart w:id="26" w:name="Xedb13697a2e41996c20f28cc4e36c551d047c33"/>
    <w:p>
      <w:pPr>
        <w:pStyle w:val="Heading2"/>
      </w:pPr>
      <w:r>
        <w:t xml:space="preserve">Future Outlook and Strategic Recommendations</w:t>
      </w:r>
    </w:p>
    <w:p>
      <w:pPr>
        <w:pStyle w:val="FirstParagraph"/>
      </w:pPr>
      <w:r>
        <w:t xml:space="preserve">Based on this comprehensive Sales Report, we project a 14% revenue increase for France Paris in Q4 through three priority actions:</w:t>
      </w:r>
    </w:p>
    <w:p>
      <w:pPr>
        <w:numPr>
          <w:ilvl w:val="0"/>
          <w:numId w:val="1001"/>
        </w:numPr>
        <w:pStyle w:val="Compact"/>
      </w:pPr>
      <w:r>
        <w:rPr>
          <w:bCs/>
          <w:b/>
        </w:rPr>
        <w:t xml:space="preserve">Localized ESG Solutions:</w:t>
      </w:r>
      <w:r>
        <w:t xml:space="preserve"> </w:t>
      </w:r>
      <w:r>
        <w:t xml:space="preserve">Develop Paris-specific sustainable investment products aligned with France's Energy Transition Law. Our</w:t>
      </w:r>
      <w:r>
        <w:t xml:space="preserve"> </w:t>
      </w:r>
      <w:r>
        <w:rPr>
          <w:bCs/>
          <w:b/>
        </w:rPr>
        <w:t xml:space="preserve">Banker</w:t>
      </w:r>
      <w:r>
        <w:t xml:space="preserve"> </w:t>
      </w:r>
      <w:r>
        <w:t xml:space="preserve">teams will lead workshops for Parisian businesses on green financing opportunities.</w:t>
      </w:r>
    </w:p>
    <w:p>
      <w:pPr>
        <w:numPr>
          <w:ilvl w:val="0"/>
          <w:numId w:val="1001"/>
        </w:numPr>
        <w:pStyle w:val="Compact"/>
      </w:pPr>
      <w:r>
        <w:rPr>
          <w:bCs/>
          <w:b/>
        </w:rPr>
        <w:t xml:space="preserve">Cross-Selling Integration:</w:t>
      </w:r>
      <w:r>
        <w:t xml:space="preserve"> </w:t>
      </w:r>
      <w:r>
        <w:t xml:space="preserve">Embed the Sales Report analytics into daily CRM workflows to enable real-time opportunity identification across our 5,200+ France Paris client accounts.</w:t>
      </w:r>
    </w:p>
    <w:p>
      <w:pPr>
        <w:numPr>
          <w:ilvl w:val="0"/>
          <w:numId w:val="1001"/>
        </w:numPr>
        <w:pStyle w:val="Compact"/>
      </w:pPr>
      <w:r>
        <w:rPr>
          <w:bCs/>
          <w:b/>
        </w:rPr>
        <w:t xml:space="preserve">Talent Development Program:</w:t>
      </w:r>
      <w:r>
        <w:t xml:space="preserve"> </w:t>
      </w:r>
      <w:r>
        <w:t xml:space="preserve">Launch advanced French language and cultural competency training for international</w:t>
      </w:r>
      <w:r>
        <w:t xml:space="preserve"> </w:t>
      </w:r>
      <w:r>
        <w:rPr>
          <w:bCs/>
          <w:b/>
        </w:rPr>
        <w:t xml:space="preserve">Banker</w:t>
      </w:r>
      <w:r>
        <w:t xml:space="preserve"> </w:t>
      </w:r>
      <w:r>
        <w:t xml:space="preserve">staff supporting France Paris operations.</w:t>
      </w:r>
    </w:p>
    <w:p>
      <w:pPr>
        <w:pStyle w:val="FirstParagraph"/>
      </w:pPr>
      <w:r>
        <w:rPr>
          <w:bCs/>
          <w:b/>
        </w:rPr>
        <w:t xml:space="preserve">Conclusion:</w:t>
      </w:r>
      <w:r>
        <w:t xml:space="preserve"> </w:t>
      </w:r>
      <w:r>
        <w:t xml:space="preserve">This Sales Report unequivocally demonstrates that our Paris-based banking professionals are delivering exceptional value in the France Paris market. The integration of deep local market expertise with global financial acumen has positioned us as a preferred partner for high-value clients across the capital. Moving forward, we will institutionalize these success factors through continuous training and technology investment – ensuring every</w:t>
      </w:r>
      <w:r>
        <w:t xml:space="preserve"> </w:t>
      </w:r>
      <w:r>
        <w:rPr>
          <w:bCs/>
          <w:b/>
        </w:rPr>
        <w:t xml:space="preserve">Banker</w:t>
      </w:r>
      <w:r>
        <w:t xml:space="preserve"> </w:t>
      </w:r>
      <w:r>
        <w:t xml:space="preserve">remains equipped to drive sustainable growth within France Paris's evolving financial ecosystem. The data in this report confirms that strategic localization is not just advantageous but essential for excellence in banking operations across France Paris.</w:t>
      </w:r>
    </w:p>
    <w:p>
      <w:pPr>
        <w:pStyle w:val="BodyText"/>
      </w:pPr>
      <w:r>
        <w:rPr>
          <w:iCs/>
          <w:i/>
        </w:rPr>
        <w:t xml:space="preserve">This Sales Report complies with the European Banking Authority's (EBA) transparency requirements and French Prudential Supervision standards (ACPR). Prepared by the Global Sales Intelligence Team,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Sales Report | Banking Performance Analysis</dc:title>
  <dc:creator/>
  <dc:language>en</dc:language>
  <cp:keywords/>
  <dcterms:created xsi:type="dcterms:W3CDTF">2026-07-23T19:17:34Z</dcterms:created>
  <dcterms:modified xsi:type="dcterms:W3CDTF">2026-07-23T19:17:34Z</dcterms:modified>
</cp:coreProperties>
</file>

<file path=docProps/custom.xml><?xml version="1.0" encoding="utf-8"?>
<Properties xmlns="http://schemas.openxmlformats.org/officeDocument/2006/custom-properties" xmlns:vt="http://schemas.openxmlformats.org/officeDocument/2006/docPropsVTypes"/>
</file>