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30" w:name="Xf261de7c7472e0c577b90a83a211a3b9d0fca9f"/>
    <w:p>
      <w:pPr>
        <w:pStyle w:val="Heading1"/>
      </w:pPr>
      <w:r>
        <w:t xml:space="preserve">Quarterly Sales Report for Banking Operations in Germany Berlin</w:t>
      </w:r>
    </w:p>
    <w:p>
      <w:pPr>
        <w:pStyle w:val="FirstParagraph"/>
      </w:pPr>
      <w:r>
        <w:rPr>
          <w:bCs/>
          <w:b/>
        </w:rPr>
        <w:t xml:space="preserve">Prepared For:</w:t>
      </w:r>
      <w:r>
        <w:t xml:space="preserve"> </w:t>
      </w:r>
      <w:r>
        <w:t xml:space="preserve">Executive Leadership, Deutsche Bank Berlin Branch</w:t>
      </w:r>
      <w:r>
        <w:br/>
      </w:r>
      <w:r>
        <w:rPr>
          <w:bCs/>
          <w:b/>
        </w:rPr>
        <w:t xml:space="preserve">Date:</w:t>
      </w:r>
      <w:r>
        <w:t xml:space="preserve"> </w:t>
      </w:r>
      <w:r>
        <w:t xml:space="preserve">October 26, 2023</w:t>
      </w:r>
      <w:r>
        <w:br/>
      </w:r>
      <w:r>
        <w:rPr>
          <w:bCs/>
          <w:b/>
        </w:rPr>
        <w:t xml:space="preserve">Prepared By:</w:t>
      </w:r>
      <w:r>
        <w:t xml:space="preserve"> </w:t>
      </w:r>
      <w:r>
        <w:t xml:space="preserve">Principal Banking Analyst (Berlin Market Focus)</w:t>
      </w:r>
    </w:p>
    <w:bookmarkStart w:id="20" w:name="executive-summary"/>
    <w:p>
      <w:pPr>
        <w:pStyle w:val="Heading2"/>
      </w:pPr>
      <w:r>
        <w:t xml:space="preserve">Executive Summary</w:t>
      </w:r>
    </w:p>
    <w:p>
      <w:pPr>
        <w:pStyle w:val="FirstParagraph"/>
      </w:pPr>
      <w:r>
        <w:t xml:space="preserve">This comprehensive Sales Report details the performance of our banking operations in Germany Berlin during Q3 2023. As a premier Banker serving the dynamic financial landscape of Europe's most vibrant capital city, we achieved remarkable growth across corporate and private banking segments. The Berlin market continues to demonstrate exceptional potential for strategic expansion, with a 17% year-over-year increase in new client acquisition and an impressive 92% client retention rate among existing high-net-worth individuals. This report underscores how our tailored financial solutions have positioned us as the preferred Banker for Berlin's evolving economic ecosystem.</w:t>
      </w:r>
    </w:p>
    <w:bookmarkEnd w:id="20"/>
    <w:bookmarkStart w:id="21" w:name="Xba76c495dab64a5f4cf8e8fdfdcf3b3f1ccfb4f"/>
    <w:p>
      <w:pPr>
        <w:pStyle w:val="Heading2"/>
      </w:pPr>
      <w:r>
        <w:t xml:space="preserve">Market Context: Why Berlin Matters in Germany</w:t>
      </w:r>
    </w:p>
    <w:p>
      <w:pPr>
        <w:pStyle w:val="FirstParagraph"/>
      </w:pPr>
      <w:r>
        <w:t xml:space="preserve">Germany's capital city, Berlin, represents more than just a metropolitan hub—it is the undisputed epicenter of innovation and financial growth in Central Europe. With over 3.7 million residents and home to 70% of Germany's startup ecosystem, Berlin attracts global capital seeking both stability and disruption. As a Banking professional operating within this environment, understanding Berlin's unique blend of traditional German banking culture and emerging fintech innovation is critical for the Banker's success. Our strategic focus on Berlin allows us to leverage its position as Europe's most affordable major city for venture capital, creating unparalleled opportunities to serve both established enterprises and digital-native clients.</w:t>
      </w:r>
    </w:p>
    <w:p>
      <w:pPr>
        <w:pStyle w:val="BodyText"/>
      </w:pPr>
      <w:r>
        <w:rPr>
          <w:bCs/>
          <w:b/>
        </w:rPr>
        <w:t xml:space="preserve">Key Berlin Market Insight:</w:t>
      </w:r>
      <w:r>
        <w:t xml:space="preserve"> </w:t>
      </w:r>
      <w:r>
        <w:t xml:space="preserve">The European Central Bank's recent decision to maintain low interest rates has intensified competition in Germany Berlin. However, our specialized portfolio solutions for sustainable business expansion have allowed us to outperform regional competitors by 22% in asset growth.</w:t>
      </w:r>
    </w:p>
    <w:bookmarkEnd w:id="21"/>
    <w:bookmarkStart w:id="22" w:name="X187a34a91b50aab2eec17b29a34cbe098447b0d"/>
    <w:p>
      <w:pPr>
        <w:pStyle w:val="Heading2"/>
      </w:pPr>
      <w:r>
        <w:t xml:space="preserve">Performance Metrics: Q3 2023 Berlin Banking Results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Private Banking Clients (Berlin)</w:t>
      </w:r>
    </w:p>
    <w:p>
      <w:pPr>
        <w:pStyle w:val="BodyText"/>
      </w:pPr>
      <w:r>
        <w:t xml:space="preserve">147</w:t>
      </w:r>
    </w:p>
    <w:p>
      <w:pPr>
        <w:pStyle w:val="BodyText"/>
      </w:pPr>
      <w:r>
        <w:t xml:space="preserve">113</w:t>
      </w:r>
    </w:p>
    <w:p>
      <w:pPr>
        <w:pStyle w:val="BodyText"/>
      </w:pPr>
      <w:r>
        <w:t xml:space="preserve">+30.1%</w:t>
      </w:r>
    </w:p>
    <w:p>
      <w:pPr>
        <w:pStyle w:val="BodyText"/>
      </w:pPr>
      <w:r>
        <w:t xml:space="preserve">Credit Facility Disbursements (Berlin Corporate)</w:t>
      </w:r>
    </w:p>
    <w:p>
      <w:pPr>
        <w:pStyle w:val="BodyText"/>
      </w:pPr>
      <w:r>
        <w:t xml:space="preserve">€42.8M</w:t>
      </w:r>
    </w:p>
    <w:p>
      <w:pPr>
        <w:pStyle w:val="BodyText"/>
      </w:pPr>
      <w:r>
        <w:t xml:space="preserve">€29.6M</w:t>
      </w:r>
    </w:p>
    <w:p>
      <w:pPr>
        <w:pStyle w:val="BodyText"/>
      </w:pPr>
      <w:r>
        <w:t xml:space="preserve">+44.6%</w:t>
      </w:r>
    </w:p>
    <w:p>
      <w:pPr>
        <w:pStyle w:val="BodyText"/>
      </w:pPr>
      <w:r>
        <w:t xml:space="preserve">Client Retention Rate (Berlin HNW)</w:t>
      </w:r>
    </w:p>
    <w:p>
      <w:pPr>
        <w:pStyle w:val="BodyText"/>
      </w:pPr>
      <w:r>
        <w:t xml:space="preserve">92%&lt;3&gt;</w:t>
      </w:r>
    </w:p>
    <w:p>
      <w:pPr>
        <w:pStyle w:val="BodyText"/>
      </w:pPr>
      <w:r>
        <w:rPr>
          <w:bCs/>
          <w:b/>
        </w:rPr>
        <w:t xml:space="preserve">Critical Success Factor:</w:t>
      </w:r>
      <w:r>
        <w:t xml:space="preserve"> </w:t>
      </w:r>
      <w:r>
        <w:t xml:space="preserve">Our Berlin-based Banker team implemented the "Berlin Innovation Suite" – a customized digital platform integrating ESG metrics with traditional banking services. This initiative directly contributed to 35% of new client acquisitions this quarter.</w:t>
      </w:r>
    </w:p>
    <w:bookmarkEnd w:id="22"/>
    <w:bookmarkStart w:id="26" w:name="Xa0e7238d99f4836d75afea28f574f9e3ba49df9"/>
    <w:p>
      <w:pPr>
        <w:pStyle w:val="Heading2"/>
      </w:pPr>
      <w:r>
        <w:t xml:space="preserve">Client Acquisition &amp; Retention Strategy in Berlin</w:t>
      </w:r>
    </w:p>
    <w:p>
      <w:pPr>
        <w:pStyle w:val="FirstParagraph"/>
      </w:pPr>
      <w:r>
        <w:t xml:space="preserve">The Banker's approach in Germany Berlin has shifted from transactional service to strategic partnership development. Our Berlin branch deployed three specialized initiatives that directly addressed local market needs:</w:t>
      </w:r>
    </w:p>
    <w:bookmarkStart w:id="23" w:name="startup-financing-ecosystem-partnerships"/>
    <w:p>
      <w:pPr>
        <w:pStyle w:val="Heading3"/>
      </w:pPr>
      <w:r>
        <w:t xml:space="preserve">1. Startup Financing Ecosystem Partnerships</w:t>
      </w:r>
    </w:p>
    <w:p>
      <w:pPr>
        <w:pStyle w:val="FirstParagraph"/>
      </w:pPr>
      <w:r>
        <w:t xml:space="preserve">We forged alliances with 12 major Berlin incubators (including Hubraum and Factory) to provide rapid capital access for Series A startups. This positioned us as the go-to Banker for Berlin's burgeoning tech scene, resulting in €18M in new business loans to scale-ups.</w:t>
      </w:r>
    </w:p>
    <w:bookmarkEnd w:id="23"/>
    <w:bookmarkStart w:id="24" w:name="sustainability-driven-banking"/>
    <w:p>
      <w:pPr>
        <w:pStyle w:val="Heading3"/>
      </w:pPr>
      <w:r>
        <w:t xml:space="preserve">2. Sustainability-Driven Banking</w:t>
      </w:r>
    </w:p>
    <w:p>
      <w:pPr>
        <w:pStyle w:val="FirstParagraph"/>
      </w:pPr>
      <w:r>
        <w:t xml:space="preserve">Recognizing Berlin's EU Green Deal leadership, we launched "Berlin Climate Finance" – a dedicated product line for eco-conscious businesses. 47% of new corporate clients cited our ESG integration as the primary reason for choosing us over competitors.</w:t>
      </w:r>
    </w:p>
    <w:bookmarkEnd w:id="24"/>
    <w:bookmarkStart w:id="25" w:name="hyper-local-client-onboarding"/>
    <w:p>
      <w:pPr>
        <w:pStyle w:val="Heading3"/>
      </w:pPr>
      <w:r>
        <w:t xml:space="preserve">3. Hyper-Local Client Onboarding</w:t>
      </w:r>
    </w:p>
    <w:p>
      <w:pPr>
        <w:pStyle w:val="FirstParagraph"/>
      </w:pPr>
      <w:r>
        <w:t xml:space="preserve">Our Berlin-based Banker team developed neighborhood-specific service clusters (Mitte, Friedrichshain, Kreuzberg) with culturally attuned financial advisors. This localized approach increased referral rates by 65% within the city's diverse communities.</w:t>
      </w:r>
    </w:p>
    <w:bookmarkEnd w:id="25"/>
    <w:bookmarkEnd w:id="26"/>
    <w:bookmarkStart w:id="27" w:name="challenges-in-the-germany-berlin-market"/>
    <w:p>
      <w:pPr>
        <w:pStyle w:val="Heading2"/>
      </w:pPr>
      <w:r>
        <w:t xml:space="preserve">Challenges in the Germany Berlin Market</w:t>
      </w:r>
    </w:p>
    <w:p>
      <w:pPr>
        <w:pStyle w:val="FirstParagraph"/>
      </w:pPr>
      <w:r>
        <w:t xml:space="preserve">Navigating Berlin's unique banking landscape presented specific hurdles that required exceptional Banker expertise:</w:t>
      </w:r>
    </w:p>
    <w:p>
      <w:pPr>
        <w:numPr>
          <w:ilvl w:val="0"/>
          <w:numId w:val="1001"/>
        </w:numPr>
        <w:pStyle w:val="Compact"/>
      </w:pPr>
      <w:r>
        <w:rPr>
          <w:bCs/>
          <w:b/>
        </w:rPr>
        <w:t xml:space="preserve">Regulatory Complexity:</w:t>
      </w:r>
      <w:r>
        <w:t xml:space="preserve"> </w:t>
      </w:r>
      <w:r>
        <w:t xml:space="preserve">Navigating Berlin's stringent data privacy laws (complementing Germany's Federal Data Protection Act) required specialized compliance training for all Banker staff, delaying some onboarding by 3-5 days initially.</w:t>
      </w:r>
    </w:p>
    <w:p>
      <w:pPr>
        <w:numPr>
          <w:ilvl w:val="0"/>
          <w:numId w:val="1001"/>
        </w:numPr>
        <w:pStyle w:val="Compact"/>
      </w:pPr>
      <w:r>
        <w:rPr>
          <w:bCs/>
          <w:b/>
        </w:rPr>
        <w:t xml:space="preserve">Talent Competition:</w:t>
      </w:r>
      <w:r>
        <w:t xml:space="preserve"> </w:t>
      </w:r>
      <w:r>
        <w:t xml:space="preserve">Attracting skilled bankers in Berlin proved challenging as fintech firms aggressively poached talent. Our solution included a "Berlin Banking Fellowship" program to retain top performers with city-specific career pathways.</w:t>
      </w:r>
    </w:p>
    <w:p>
      <w:pPr>
        <w:numPr>
          <w:ilvl w:val="0"/>
          <w:numId w:val="1001"/>
        </w:numPr>
        <w:pStyle w:val="Compact"/>
      </w:pPr>
      <w:r>
        <w:rPr>
          <w:bCs/>
          <w:b/>
        </w:rPr>
        <w:t xml:space="preserve">Economic Volatility:</w:t>
      </w:r>
      <w:r>
        <w:t xml:space="preserve"> </w:t>
      </w:r>
      <w:r>
        <w:t xml:space="preserve">Rising energy costs impacted SME clients, requiring our Banker team to rapidly restructure 23% of commercial loans into flexible repayment plans without credit downgrades.</w:t>
      </w:r>
    </w:p>
    <w:bookmarkEnd w:id="27"/>
    <w:bookmarkStart w:id="28" w:name="X28e474450a8d60454dad6d1a2ceb3fd3778dd35"/>
    <w:p>
      <w:pPr>
        <w:pStyle w:val="Heading2"/>
      </w:pPr>
      <w:r>
        <w:t xml:space="preserve">Strategic Recommendations for Berlin Banking Expansion</w:t>
      </w:r>
    </w:p>
    <w:p>
      <w:pPr>
        <w:pStyle w:val="FirstParagraph"/>
      </w:pPr>
      <w:r>
        <w:t xml:space="preserve">To maintain leadership as the preferred Banker in Germany Berlin, we recommend three focused actions:</w:t>
      </w:r>
    </w:p>
    <w:p>
      <w:pPr>
        <w:numPr>
          <w:ilvl w:val="0"/>
          <w:numId w:val="1002"/>
        </w:numPr>
        <w:pStyle w:val="Compact"/>
      </w:pPr>
      <w:r>
        <w:rPr>
          <w:bCs/>
          <w:b/>
        </w:rPr>
        <w:t xml:space="preserve">Double Down on Digital Integration:</w:t>
      </w:r>
      <w:r>
        <w:t xml:space="preserve"> </w:t>
      </w:r>
      <w:r>
        <w:t xml:space="preserve">Invest €1.5M in a Berlin-exclusive mobile banking app with real-time access to local economic data (e.g., rent index, startup funding trends) – expected to increase digital engagement by 40% within 12 months.</w:t>
      </w:r>
    </w:p>
    <w:p>
      <w:pPr>
        <w:numPr>
          <w:ilvl w:val="0"/>
          <w:numId w:val="1002"/>
        </w:numPr>
        <w:pStyle w:val="Compact"/>
      </w:pPr>
      <w:r>
        <w:rPr>
          <w:bCs/>
          <w:b/>
        </w:rPr>
        <w:t xml:space="preserve">Create a Berlin Economic Advisory Council:</w:t>
      </w:r>
      <w:r>
        <w:t xml:space="preserve"> </w:t>
      </w:r>
      <w:r>
        <w:t xml:space="preserve">Establish quarterly forums with city officials and business leaders to anticipate market shifts before competitors. This positions us as the strategic Banker for Berlin's economic development.</w:t>
      </w:r>
    </w:p>
    <w:p>
      <w:pPr>
        <w:numPr>
          <w:ilvl w:val="0"/>
          <w:numId w:val="1002"/>
        </w:numPr>
        <w:pStyle w:val="Compact"/>
      </w:pPr>
      <w:r>
        <w:rPr>
          <w:bCs/>
          <w:b/>
        </w:rPr>
        <w:t xml:space="preserve">Launch "Berlin Impact Bonds":</w:t>
      </w:r>
      <w:r>
        <w:t xml:space="preserve"> </w:t>
      </w:r>
      <w:r>
        <w:t xml:space="preserve">Develop a new financial product exclusively for social enterprises, directly aligning with Berlin's municipal sustainability goals and attracting ESG-focused capital.</w:t>
      </w:r>
    </w:p>
    <w:p>
      <w:pPr>
        <w:pStyle w:val="FirstParagraph"/>
      </w:pPr>
      <w:r>
        <w:rPr>
          <w:bCs/>
          <w:b/>
        </w:rPr>
        <w:t xml:space="preserve">The Berlin Advantage:</w:t>
      </w:r>
      <w:r>
        <w:t xml:space="preserve"> </w:t>
      </w:r>
      <w:r>
        <w:t xml:space="preserve">Our Q3 results prove that understanding Berlin's unique market dynamics – from its startup culture to its sustainable city vision – transforms a Banker from a service provider into an indispensable economic partner. This strategic differentiation is why our Berlin branch now contributes 18% of Germany's total private banking revenue despite representing only 9% of our national branch count.</w:t>
      </w:r>
    </w:p>
    <w:bookmarkEnd w:id="28"/>
    <w:bookmarkStart w:id="29" w:name="conclusion"/>
    <w:p>
      <w:pPr>
        <w:pStyle w:val="Heading2"/>
      </w:pPr>
      <w:r>
        <w:t xml:space="preserve">Conclusion</w:t>
      </w:r>
    </w:p>
    <w:p>
      <w:pPr>
        <w:pStyle w:val="FirstParagraph"/>
      </w:pPr>
      <w:r>
        <w:t xml:space="preserve">This Sales Report confirms that operating as a proactive Banker in Germany Berlin demands more than standard financial services – it requires deep cultural immersion, agile product development, and unwavering commitment to the city's growth trajectory. The 17% year-over-year growth in Berlin demonstrates that our market-specific approach resonates powerfully with local businesses and individuals seeking a banking partner who understands both German precision and Berlin's innovative spirit. As we enter 2024, maintaining this localized expertise will be paramount for sustaining our leadership position as the premier Banker for Germany's most dynamic city. Our continued success in Berlin isn't just about financial performance; it's about becoming the trusted financial architect of this city's economic future.</w:t>
      </w:r>
    </w:p>
    <w:p>
      <w:pPr>
        <w:pStyle w:val="BodyText"/>
      </w:pPr>
      <w:r>
        <w:rPr>
          <w:iCs/>
          <w:i/>
        </w:rPr>
        <w:t xml:space="preserve">Prepared by: Berlin Banking Strategy Team</w:t>
      </w:r>
      <w:r>
        <w:br/>
      </w:r>
      <w:r>
        <w:rPr>
          <w:iCs/>
          <w:i/>
        </w:rPr>
        <w:t xml:space="preserve">Deutsche Bank AG | Friedrichstraße 107, 10117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Sales Report: Banking Performance Analysis</dc:title>
  <dc:creator/>
  <dc:language>en</dc:language>
  <cp:keywords/>
  <dcterms:created xsi:type="dcterms:W3CDTF">2026-07-21T12:15:43Z</dcterms:created>
  <dcterms:modified xsi:type="dcterms:W3CDTF">2026-07-21T12:15:43Z</dcterms:modified>
</cp:coreProperties>
</file>

<file path=docProps/custom.xml><?xml version="1.0" encoding="utf-8"?>
<Properties xmlns="http://schemas.openxmlformats.org/officeDocument/2006/custom-properties" xmlns:vt="http://schemas.openxmlformats.org/officeDocument/2006/docPropsVTypes"/>
</file>