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Frankfurt</w:t>
      </w:r>
      <w:r>
        <w:t xml:space="preserve"> </w:t>
      </w:r>
      <w:r>
        <w:t xml:space="preserve">Financial</w:t>
      </w:r>
      <w:r>
        <w:t xml:space="preserve"> </w:t>
      </w:r>
      <w:r>
        <w:t xml:space="preserve">Services</w:t>
      </w:r>
      <w:r>
        <w:t xml:space="preserve"> </w:t>
      </w:r>
      <w:r>
        <w:t xml:space="preserve">Division</w:t>
      </w:r>
    </w:p>
    <w:bookmarkStart w:id="31" w:name="X0ab5adb4e51e7463e7c56946cbb75e26c4a90a4"/>
    <w:p>
      <w:pPr>
        <w:pStyle w:val="Heading1"/>
      </w:pPr>
      <w:r>
        <w:t xml:space="preserve">Q3 2023 Sales Report: Strategic Performance Analysis for Banking Operations in Germany Frankfurt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Deutsche Bank Frankfurt</w:t>
      </w:r>
      <w:r>
        <w:br/>
      </w:r>
      <w:r>
        <w:rPr>
          <w:bCs/>
          <w:b/>
        </w:rPr>
        <w:t xml:space="preserve">From:</w:t>
      </w:r>
      <w:r>
        <w:t xml:space="preserve"> </w:t>
      </w:r>
      <w:r>
        <w:t xml:space="preserve">Senior Sales &amp; Strategy Division, Germany Frankfurt Branch</w:t>
      </w:r>
      <w:r>
        <w:br/>
      </w:r>
      <w:r>
        <w:rPr>
          <w:bCs/>
          <w:b/>
        </w:rPr>
        <w:t xml:space="preserve">Subject:</w:t>
      </w:r>
      <w:r>
        <w:t xml:space="preserve"> </w:t>
      </w:r>
      <w:r>
        <w:t xml:space="preserve">Comprehensive Q3 Performance Review and Forward-Looking Strategy</w:t>
      </w:r>
    </w:p>
    <w:bookmarkStart w:id="20" w:name="i.-executive-summary"/>
    <w:p>
      <w:pPr>
        <w:pStyle w:val="Heading2"/>
      </w:pPr>
      <w:r>
        <w:t xml:space="preserve">I. Executive Summary</w:t>
      </w:r>
    </w:p>
    <w:p>
      <w:pPr>
        <w:pStyle w:val="FirstParagraph"/>
      </w:pPr>
      <w:r>
        <w:t xml:space="preserve">This quarterly Sales Report details the strategic performance of our banking division within the Germany Frankfurt financial ecosystem. As a premier institution operating from Frankfurt's globally recognized financial hub, our Q3 results reflect both market resilience and targeted growth initiatives. The Banker team achieved a 12.7% year-over-year increase in cross-sold services revenue, exceeding regional targets by 8.3%, with particular strength in corporate treasury solutions and ESG-linked financing products. This performance underscores Frankfurt's position as Europe's central banking nexus while demonstrating the strategic agility of our local Banker team in navigating complex regulatory landscapes.</w:t>
      </w:r>
    </w:p>
    <w:bookmarkEnd w:id="20"/>
    <w:bookmarkStart w:id="21" w:name="ii.-germany-frankfurt-market-context"/>
    <w:p>
      <w:pPr>
        <w:pStyle w:val="Heading2"/>
      </w:pPr>
      <w:r>
        <w:t xml:space="preserve">II. Germany Frankfurt Market Context</w:t>
      </w:r>
    </w:p>
    <w:p>
      <w:pPr>
        <w:pStyle w:val="FirstParagraph"/>
      </w:pPr>
      <w:r>
        <w:t xml:space="preserve">Frankfurt remains Germany's undisputed financial capital, housing the European Central Bank (ECB), Deutsche Börse, and 16 of Europe's top 50 banks. In Q3 2023, the Frankfurt market exhibited three defining trends:</w:t>
      </w:r>
    </w:p>
    <w:p>
      <w:pPr>
        <w:numPr>
          <w:ilvl w:val="0"/>
          <w:numId w:val="1001"/>
        </w:numPr>
        <w:pStyle w:val="Compact"/>
      </w:pPr>
      <w:r>
        <w:rPr>
          <w:bCs/>
          <w:b/>
        </w:rPr>
        <w:t xml:space="preserve">Regulatory Acceleration:</w:t>
      </w:r>
      <w:r>
        <w:t xml:space="preserve"> </w:t>
      </w:r>
      <w:r>
        <w:t xml:space="preserve">The implementation of EU Sustainable Finance Disclosure Regulation (SFDR) spurred demand for ESG-compliant banking solutions.</w:t>
      </w:r>
    </w:p>
    <w:p>
      <w:pPr>
        <w:numPr>
          <w:ilvl w:val="0"/>
          <w:numId w:val="1001"/>
        </w:numPr>
        <w:pStyle w:val="Compact"/>
      </w:pPr>
      <w:r>
        <w:rPr>
          <w:bCs/>
          <w:b/>
        </w:rPr>
        <w:t xml:space="preserve">Cross-Border Complexity:</w:t>
      </w:r>
      <w:r>
        <w:t xml:space="preserve"> </w:t>
      </w:r>
      <w:r>
        <w:t xml:space="preserve">42% of Frankfurt-based corporate clients required multi-jurisdictional transaction services due to Germany's central European trade position.</w:t>
      </w:r>
    </w:p>
    <w:p>
      <w:pPr>
        <w:numPr>
          <w:ilvl w:val="0"/>
          <w:numId w:val="1001"/>
        </w:numPr>
        <w:pStyle w:val="Compact"/>
      </w:pPr>
      <w:r>
        <w:rPr>
          <w:bCs/>
          <w:b/>
        </w:rPr>
        <w:t xml:space="preserve">Digital Transformation:</w:t>
      </w:r>
      <w:r>
        <w:t xml:space="preserve"> </w:t>
      </w:r>
      <w:r>
        <w:t xml:space="preserve">68% of institutional clients prioritized API-integrated treasury platforms (vs. 52% in Q1).</w:t>
      </w:r>
    </w:p>
    <w:p>
      <w:pPr>
        <w:pStyle w:val="FirstParagraph"/>
      </w:pPr>
      <w:r>
        <w:t xml:space="preserve">Our Banker team proactively addressed these through Frankfurt-specific product customization, turning regulatory challenges into revenue opportunities.</w:t>
      </w:r>
    </w:p>
    <w:bookmarkEnd w:id="21"/>
    <w:bookmarkStart w:id="25" w:name="iii.-sales-performance-breakdown"/>
    <w:p>
      <w:pPr>
        <w:pStyle w:val="Heading2"/>
      </w:pPr>
      <w:r>
        <w:t xml:space="preserve">III. Sales Performance Breakdown</w:t>
      </w:r>
    </w:p>
    <w:p>
      <w:pPr>
        <w:pStyle w:val="FirstParagraph"/>
      </w:pPr>
      <w:r>
        <w:t xml:space="preserve">The Q3 Sales Report highlights three key growth vectors where our Frankfurt Banker network excelled:</w:t>
      </w:r>
    </w:p>
    <w:bookmarkStart w:id="22" w:name="a.-corporate-treasury-fx-solutions"/>
    <w:p>
      <w:pPr>
        <w:pStyle w:val="Heading3"/>
      </w:pPr>
      <w:r>
        <w:t xml:space="preserve">A. Corporate Treasury &amp; FX Solutions</w:t>
      </w:r>
    </w:p>
    <w:p>
      <w:pPr>
        <w:pStyle w:val="FirstParagraph"/>
      </w:pPr>
      <w:r>
        <w:t xml:space="preserve">Product Segment</w:t>
      </w:r>
    </w:p>
    <w:p>
      <w:pPr>
        <w:pStyle w:val="BodyText"/>
      </w:pPr>
      <w:r>
        <w:t xml:space="preserve">Q2 2023 Revenue (€M)</w:t>
      </w:r>
    </w:p>
    <w:p>
      <w:pPr>
        <w:pStyle w:val="BodyText"/>
      </w:pPr>
      <w:r>
        <w:t xml:space="preserve">Q3 2023 Revenue (€M)</w:t>
      </w:r>
    </w:p>
    <w:p>
      <w:pPr>
        <w:pStyle w:val="BodyText"/>
      </w:pPr>
      <w:r>
        <w:t xml:space="preserve">% Growth</w:t>
      </w:r>
    </w:p>
    <w:p>
      <w:pPr>
        <w:pStyle w:val="BodyText"/>
      </w:pPr>
      <w:r>
        <w:t xml:space="preserve">Multi-Currency FX Execution</w:t>
      </w:r>
    </w:p>
    <w:p>
      <w:pPr>
        <w:pStyle w:val="BodyText"/>
      </w:pPr>
      <w:r>
        <w:t xml:space="preserve">14.8</w:t>
      </w:r>
    </w:p>
    <w:p>
      <w:pPr>
        <w:pStyle w:val="BodyText"/>
      </w:pPr>
      <w:r>
        <w:t xml:space="preserve">18.6</w:t>
      </w:r>
    </w:p>
    <w:p>
      <w:pPr>
        <w:pStyle w:val="BodyText"/>
      </w:pPr>
      <w:r>
        <w:t xml:space="preserve">+25.7%</w:t>
      </w:r>
    </w:p>
    <w:p>
      <w:pPr>
        <w:pStyle w:val="BodyText"/>
      </w:pPr>
      <w:r>
        <w:t xml:space="preserve">Treasury Risk Management Suites</w:t>
      </w:r>
    </w:p>
    <w:p>
      <w:pPr>
        <w:pStyle w:val="BodyText"/>
      </w:pPr>
      <w:r>
        <w:t xml:space="preserve">9.2</w:t>
      </w:r>
    </w:p>
    <w:p>
      <w:pPr>
        <w:pStyle w:val="BodyText"/>
      </w:pPr>
      <w:r>
        <w:t xml:space="preserve">13.5</w:t>
      </w:r>
    </w:p>
    <w:p>
      <w:pPr>
        <w:pStyle w:val="BodyText"/>
      </w:pPr>
      <w:r>
        <w:t xml:space="preserve">Total Corporate Treasury</w:t>
      </w:r>
    </w:p>
    <w:p>
      <w:pPr>
        <w:pStyle w:val="BodyText"/>
      </w:pPr>
      <w:r>
        <w:t xml:space="preserve">24.0</w:t>
      </w:r>
    </w:p>
    <w:p>
      <w:pPr>
        <w:pStyle w:val="BodyText"/>
      </w:pPr>
      <w:r>
        <w:t xml:space="preserve">32.1</w:t>
      </w:r>
    </w:p>
    <w:p>
      <w:pPr>
        <w:pStyle w:val="BodyText"/>
      </w:pPr>
      <w:r>
        <w:t xml:space="preserve">+33.8%</w:t>
      </w:r>
    </w:p>
    <w:p>
      <w:pPr>
        <w:pStyle w:val="BodyText"/>
      </w:pPr>
      <w:r>
        <w:t xml:space="preserve">The 76% QoQ growth in FX transactions directly correlates with Frankfurt's role as Europe's primary currency clearing center, where our Banker team achieved a 22% market share (up from 18% YoY). This was driven by bespoke solutions for automotive and manufacturing clients navigating Eurozone supply chain volatility.</w:t>
      </w:r>
    </w:p>
    <w:bookmarkEnd w:id="22"/>
    <w:bookmarkStart w:id="23" w:name="b.-esg-sustainable-finance"/>
    <w:p>
      <w:pPr>
        <w:pStyle w:val="Heading3"/>
      </w:pPr>
      <w:r>
        <w:t xml:space="preserve">B. ESG &amp; Sustainable Finance</w:t>
      </w:r>
    </w:p>
    <w:p>
      <w:pPr>
        <w:pStyle w:val="FirstParagraph"/>
      </w:pPr>
      <w:r>
        <w:t xml:space="preserve">ESG products accounted for 37% of new business pipeline – a 50% increase from Q2. The Banker team executed Frankfurt's first €150M green bond issuance for a German automotive supplier, securing it through:</w:t>
      </w:r>
    </w:p>
    <w:p>
      <w:pPr>
        <w:numPr>
          <w:ilvl w:val="0"/>
          <w:numId w:val="1002"/>
        </w:numPr>
        <w:pStyle w:val="Compact"/>
      </w:pPr>
      <w:r>
        <w:t xml:space="preserve">Deep integration with Frankfurt-based sustainability rating agencies (e.g., ISS ESG)</w:t>
      </w:r>
    </w:p>
    <w:p>
      <w:pPr>
        <w:numPr>
          <w:ilvl w:val="0"/>
          <w:numId w:val="1002"/>
        </w:numPr>
        <w:pStyle w:val="Compact"/>
      </w:pPr>
      <w:r>
        <w:t xml:space="preserve">Collaboration with ECB climate stress test protocols</w:t>
      </w:r>
    </w:p>
    <w:p>
      <w:pPr>
        <w:numPr>
          <w:ilvl w:val="0"/>
          <w:numId w:val="1002"/>
        </w:numPr>
        <w:pStyle w:val="Compact"/>
      </w:pPr>
      <w:r>
        <w:t xml:space="preserve">Prioritization of local manufacturing clients in the "Frankfurt Green Corridor" initiative</w:t>
      </w:r>
    </w:p>
    <w:bookmarkEnd w:id="23"/>
    <w:bookmarkStart w:id="24" w:name="c.-digital-sales-performance"/>
    <w:p>
      <w:pPr>
        <w:pStyle w:val="Heading3"/>
      </w:pPr>
      <w:r>
        <w:t xml:space="preserve">C. Digital Sales Performance</w:t>
      </w:r>
    </w:p>
    <w:p>
      <w:pPr>
        <w:pStyle w:val="FirstParagraph"/>
      </w:pPr>
      <w:r>
        <w:t xml:space="preserve">The Banker team's adoption of Frankfurt-specific digital tools delivered exceptional results:</w:t>
      </w:r>
    </w:p>
    <w:p>
      <w:pPr>
        <w:numPr>
          <w:ilvl w:val="0"/>
          <w:numId w:val="1003"/>
        </w:numPr>
        <w:pStyle w:val="Compact"/>
      </w:pPr>
      <w:r>
        <w:t xml:space="preserve">41% reduction in sales cycle time through our "Frankfurt Connect" API platform</w:t>
      </w:r>
    </w:p>
    <w:p>
      <w:pPr>
        <w:numPr>
          <w:ilvl w:val="0"/>
          <w:numId w:val="1003"/>
        </w:numPr>
        <w:pStyle w:val="Compact"/>
      </w:pPr>
      <w:r>
        <w:t xml:space="preserve">200+ corporate clients migrated to automated treasury dashboards (vs. 87 in Q2)</w:t>
      </w:r>
    </w:p>
    <w:p>
      <w:pPr>
        <w:numPr>
          <w:ilvl w:val="0"/>
          <w:numId w:val="1003"/>
        </w:numPr>
        <w:pStyle w:val="Compact"/>
      </w:pPr>
      <w:r>
        <w:t xml:space="preserve">58% of new client acquisitions via digital channels – significantly higher than the European average of 44%</w:t>
      </w:r>
    </w:p>
    <w:bookmarkEnd w:id="24"/>
    <w:bookmarkEnd w:id="25"/>
    <w:bookmarkStart w:id="28" w:name="Xac48c7206ef6d44ce4fdc560fdf4282005f1f0c"/>
    <w:p>
      <w:pPr>
        <w:pStyle w:val="Heading2"/>
      </w:pPr>
      <w:r>
        <w:t xml:space="preserve">IV. Frankfurt-Specific Challenges &amp; Strategic Adaptations</w:t>
      </w:r>
    </w:p>
    <w:p>
      <w:pPr>
        <w:pStyle w:val="FirstParagraph"/>
      </w:pPr>
      <w:r>
        <w:t xml:space="preserve">The Sales Report identifies two critical hurdles faced by the Banker team in Germany Frankfurt:</w:t>
      </w:r>
    </w:p>
    <w:bookmarkStart w:id="26" w:name="regulatory-fragmentation"/>
    <w:p>
      <w:pPr>
        <w:pStyle w:val="Heading3"/>
      </w:pPr>
      <w:r>
        <w:t xml:space="preserve">1. Regulatory Fragmentation</w:t>
      </w:r>
    </w:p>
    <w:p>
      <w:pPr>
        <w:pStyle w:val="FirstParagraph"/>
      </w:pPr>
      <w:r>
        <w:t xml:space="preserve">The German Federal Financial Supervisory Authority (BaFin) introduced complex MiFID II reporting requirements affecting 78% of Frankfurt corporate clients. Our Banker strategy implemented:</w:t>
      </w:r>
    </w:p>
    <w:p>
      <w:pPr>
        <w:numPr>
          <w:ilvl w:val="0"/>
          <w:numId w:val="1004"/>
        </w:numPr>
        <w:pStyle w:val="Compact"/>
      </w:pPr>
      <w:r>
        <w:t xml:space="preserve">Custom BaFin compliance modules embedded in all sales proposals</w:t>
      </w:r>
    </w:p>
    <w:p>
      <w:pPr>
        <w:numPr>
          <w:ilvl w:val="0"/>
          <w:numId w:val="1004"/>
        </w:numPr>
        <w:pStyle w:val="Compact"/>
      </w:pPr>
      <w:r>
        <w:t xml:space="preserve">Dedicated Frankfurt regulatory liaison role (reducing client onboarding delays by 35%)</w:t>
      </w:r>
    </w:p>
    <w:p>
      <w:pPr>
        <w:numPr>
          <w:ilvl w:val="0"/>
          <w:numId w:val="1004"/>
        </w:numPr>
        <w:pStyle w:val="Compact"/>
      </w:pPr>
      <w:r>
        <w:t xml:space="preserve">Collaboration with the Frankfurt Stock Exchange to co-develop reporting templates</w:t>
      </w:r>
    </w:p>
    <w:bookmarkEnd w:id="26"/>
    <w:bookmarkStart w:id="27" w:name="talent-competition-in-the-financial-hub"/>
    <w:p>
      <w:pPr>
        <w:pStyle w:val="Heading3"/>
      </w:pPr>
      <w:r>
        <w:t xml:space="preserve">2. Talent Competition in the Financial Hub</w:t>
      </w:r>
    </w:p>
    <w:p>
      <w:pPr>
        <w:pStyle w:val="FirstParagraph"/>
      </w:pPr>
      <w:r>
        <w:t xml:space="preserve">Frankfurt's talent market saw 24% year-on-year growth in senior banking roles. The Banker team countered this through:</w:t>
      </w:r>
    </w:p>
    <w:p>
      <w:pPr>
        <w:numPr>
          <w:ilvl w:val="0"/>
          <w:numId w:val="1005"/>
        </w:numPr>
        <w:pStyle w:val="Compact"/>
      </w:pPr>
      <w:r>
        <w:t xml:space="preserve">Frankfurt-specific career pathways for sales professionals (including German language certification bonuses)</w:t>
      </w:r>
    </w:p>
    <w:p>
      <w:pPr>
        <w:numPr>
          <w:ilvl w:val="0"/>
          <w:numId w:val="1005"/>
        </w:numPr>
        <w:pStyle w:val="Compact"/>
      </w:pPr>
      <w:r>
        <w:t xml:space="preserve">Partnerships with Goethe University Frankfurt for targeted recruitment</w:t>
      </w:r>
    </w:p>
    <w:p>
      <w:pPr>
        <w:numPr>
          <w:ilvl w:val="0"/>
          <w:numId w:val="1005"/>
        </w:numPr>
        <w:pStyle w:val="Compact"/>
      </w:pPr>
      <w:r>
        <w:t xml:space="preserve">Localized incentive structures tied to regional market share growth</w:t>
      </w:r>
    </w:p>
    <w:bookmarkEnd w:id="27"/>
    <w:bookmarkEnd w:id="28"/>
    <w:bookmarkStart w:id="29" w:name="X6d48d98ae69addcb49fa1a31222a2ffabea912d"/>
    <w:p>
      <w:pPr>
        <w:pStyle w:val="Heading2"/>
      </w:pPr>
      <w:r>
        <w:t xml:space="preserve">V. Strategic Recommendations for the Frankfurt Banker Network</w:t>
      </w:r>
    </w:p>
    <w:p>
      <w:pPr>
        <w:pStyle w:val="FirstParagraph"/>
      </w:pPr>
      <w:r>
        <w:t xml:space="preserve">Leveraging Germany Frankfurt's unique position, we propose three initiatives to sustain momentum:</w:t>
      </w:r>
    </w:p>
    <w:p>
      <w:pPr>
        <w:numPr>
          <w:ilvl w:val="0"/>
          <w:numId w:val="1006"/>
        </w:numPr>
        <w:pStyle w:val="Compact"/>
      </w:pPr>
      <w:r>
        <w:rPr>
          <w:bCs/>
          <w:b/>
        </w:rPr>
        <w:t xml:space="preserve">Frankfurt ESG Innovation Hub:</w:t>
      </w:r>
      <w:r>
        <w:t xml:space="preserve"> </w:t>
      </w:r>
      <w:r>
        <w:t xml:space="preserve">Establish a dedicated workspace at our headquarters to accelerate ESG product development, collaborating with the ECB and Frankfurt-based sustainability tech startups. (Projected ROI: €4.2M in Year 1)</w:t>
      </w:r>
    </w:p>
    <w:p>
      <w:pPr>
        <w:numPr>
          <w:ilvl w:val="0"/>
          <w:numId w:val="1006"/>
        </w:numPr>
        <w:pStyle w:val="Compact"/>
      </w:pPr>
      <w:r>
        <w:rPr>
          <w:bCs/>
          <w:b/>
        </w:rPr>
        <w:t xml:space="preserve">Multilingual Sales Acceleration:</w:t>
      </w:r>
      <w:r>
        <w:t xml:space="preserve"> </w:t>
      </w:r>
      <w:r>
        <w:t xml:space="preserve">Implement real-time German/English/French client communication tools specifically for EU cross-border transactions. (Targets: 30% faster deal closure for pan-European clients)</w:t>
      </w:r>
    </w:p>
    <w:p>
      <w:pPr>
        <w:numPr>
          <w:ilvl w:val="0"/>
          <w:numId w:val="1006"/>
        </w:numPr>
        <w:pStyle w:val="Compact"/>
      </w:pPr>
      <w:r>
        <w:rPr>
          <w:bCs/>
          <w:b/>
        </w:rPr>
        <w:t xml:space="preserve">Frankfurt Market Intelligence Unit:</w:t>
      </w:r>
      <w:r>
        <w:t xml:space="preserve"> </w:t>
      </w:r>
      <w:r>
        <w:t xml:space="preserve">Create a specialized team monitoring local regulatory shifts (e.g., BaFin's new crypto-asset rules) to position our Banker team as proactive advisors, not just service providers.</w:t>
      </w:r>
    </w:p>
    <w:bookmarkEnd w:id="29"/>
    <w:bookmarkStart w:id="30" w:name="vi.-conclusion-the-frankfurt-advantage"/>
    <w:p>
      <w:pPr>
        <w:pStyle w:val="Heading2"/>
      </w:pPr>
      <w:r>
        <w:t xml:space="preserve">VI. Conclusion: The Frankfurt Advantage</w:t>
      </w:r>
    </w:p>
    <w:p>
      <w:pPr>
        <w:pStyle w:val="FirstParagraph"/>
      </w:pPr>
      <w:r>
        <w:t xml:space="preserve">This Q3 Sales Report confirms that Germany Frankfurt remains the optimal operational base for banking innovation in Europe. The strategic execution by our Banker network – particularly in navigating Frankfurt's regulatory ecosystem while capitalizing on its geographic centrality – delivered exceptional results that outperformed both regional and global benchmarks. As the ECB continues to shape European monetary policy from Frankfurt, our ability to align sales solutions with the city's evolving financial infrastructure positions us for sustained leadership. The Banker team has not merely adapted to Frankfurt's market; they have become architects of its next phase of growth. We project a 15-18% revenue increase in Q4 through these tailored strategies, solidifying our position as the premier banking partner for institutional clients operating within Germany Frankfurt's financial ecosystem.</w:t>
      </w:r>
    </w:p>
    <w:p>
      <w:pPr>
        <w:pStyle w:val="BodyText"/>
      </w:pPr>
      <w:r>
        <w:rPr>
          <w:bCs/>
          <w:b/>
        </w:rPr>
        <w:t xml:space="preserve">Prepared by:</w:t>
      </w:r>
      <w:r>
        <w:t xml:space="preserve"> </w:t>
      </w:r>
      <w:r>
        <w:t xml:space="preserve">Sarah Müller, Head of Sales Strategy</w:t>
      </w:r>
      <w:r>
        <w:br/>
      </w:r>
      <w:r>
        <w:rPr>
          <w:bCs/>
          <w:b/>
        </w:rPr>
        <w:t xml:space="preserve">Frankfurt Financial Services Division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Frankfurt Financial Services Division</dc:title>
  <dc:creator/>
  <dc:language>en</dc:language>
  <cp:keywords/>
  <dcterms:created xsi:type="dcterms:W3CDTF">2026-07-21T06:17:01Z</dcterms:created>
  <dcterms:modified xsi:type="dcterms:W3CDTF">2026-07-21T06:17:01Z</dcterms:modified>
</cp:coreProperties>
</file>

<file path=docProps/custom.xml><?xml version="1.0" encoding="utf-8"?>
<Properties xmlns="http://schemas.openxmlformats.org/officeDocument/2006/custom-properties" xmlns:vt="http://schemas.openxmlformats.org/officeDocument/2006/docPropsVTypes"/>
</file>