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Performance</w:t>
      </w:r>
      <w:r>
        <w:t xml:space="preserve"> </w:t>
      </w:r>
      <w:r>
        <w:t xml:space="preserve">of</w:t>
      </w:r>
      <w:r>
        <w:t xml:space="preserve"> </w:t>
      </w:r>
      <w:r>
        <w:t xml:space="preserve">the</w:t>
      </w:r>
      <w:r>
        <w:t xml:space="preserve"> </w:t>
      </w:r>
      <w:r>
        <w:t xml:space="preserve">Munich-Based</w:t>
      </w:r>
      <w:r>
        <w:t xml:space="preserve"> </w:t>
      </w:r>
      <w:r>
        <w:t xml:space="preserve">Banker</w:t>
      </w:r>
      <w:r>
        <w:t xml:space="preserve"> </w:t>
      </w:r>
      <w:r>
        <w:t xml:space="preserve">-</w:t>
      </w:r>
      <w:r>
        <w:t xml:space="preserve"> </w:t>
      </w:r>
      <w:r>
        <w:t xml:space="preserve">Germany</w:t>
      </w:r>
    </w:p>
    <w:bookmarkStart w:id="28" w:name="X9a0963d285fde4657b2f328cc2df674733a3e36"/>
    <w:p>
      <w:pPr>
        <w:pStyle w:val="Heading1"/>
      </w:pPr>
      <w:r>
        <w:t xml:space="preserve">Sales Report: Strategic Performance of the Munich-Based Banker in Germany's Dynamic Financial Landscape</w:t>
      </w:r>
    </w:p>
    <w:bookmarkStart w:id="20" w:name="executive-summary"/>
    <w:p>
      <w:pPr>
        <w:pStyle w:val="Heading2"/>
      </w:pPr>
      <w:r>
        <w:t xml:space="preserve">Executive Summary</w:t>
      </w:r>
    </w:p>
    <w:p>
      <w:pPr>
        <w:pStyle w:val="FirstParagraph"/>
      </w:pPr>
      <w:r>
        <w:t xml:space="preserve">This comprehensive Sales Report details the strategic performance, market engagement, and client acquisition initiatives executed by our dedicated Banker operating within Germany Munich. As a pivotal member of our financial services division, this Munich-based Banker has consistently demonstrated exceptional prowess in navigating the intricate economic ecosystem of Bavaria and Germany’s broader financial sector. The report underscores significant achievements across key performance indicators (KPIs), client portfolio expansion, and localized market adaptation during Q3 2023, positioning us for sustained growth in one of Europe's most sophisticated banking hubs.</w:t>
      </w:r>
    </w:p>
    <w:bookmarkEnd w:id="20"/>
    <w:bookmarkStart w:id="21" w:name="X1810b743ae8119cd138f83669ff675c57848201"/>
    <w:p>
      <w:pPr>
        <w:pStyle w:val="Heading2"/>
      </w:pPr>
      <w:r>
        <w:t xml:space="preserve">Market Context: Germany Munich as a Strategic Financial Nexus</w:t>
      </w:r>
    </w:p>
    <w:p>
      <w:pPr>
        <w:pStyle w:val="FirstParagraph"/>
      </w:pPr>
      <w:r>
        <w:t xml:space="preserve">Munich stands as the undisputed financial and industrial heartbeat of Germany, hosting headquarters for global automotive giants (BMW Group), leading engineering firms, and a thriving ecosystem of high-net-worth individuals (HNWIs) and mid-sized enterprises. This unique environment demands specialized banking solutions tailored to Bavarian business culture—where relationship-building, long-term strategic alignment, and regulatory expertise are paramount. The Sales Report confirms that our Banker’s deep-rooted understanding of Munich’s market dynamics has been instrumental in converting this complexity into a competitive advantage. Germany's stringent financial regulations (BaFin compliance) and Munich's reputation for premium services necessitate a Banker who operates with both local insight and global sophistication.</w:t>
      </w:r>
    </w:p>
    <w:bookmarkEnd w:id="21"/>
    <w:bookmarkStart w:id="22" w:name="key-sales-performance-metrics"/>
    <w:p>
      <w:pPr>
        <w:pStyle w:val="Heading2"/>
      </w:pPr>
      <w:r>
        <w:t xml:space="preserve">Key Sales Performance Metrics</w:t>
      </w:r>
    </w:p>
    <w:p>
      <w:pPr>
        <w:pStyle w:val="FirstParagraph"/>
      </w:pPr>
      <w:r>
        <w:t xml:space="preserve">The Munich-based Banker achieved outstanding results, directly contributing to our regional sales targets. Key highlights include:</w:t>
      </w:r>
    </w:p>
    <w:p>
      <w:pPr>
        <w:numPr>
          <w:ilvl w:val="0"/>
          <w:numId w:val="1001"/>
        </w:numPr>
        <w:pStyle w:val="Compact"/>
      </w:pPr>
      <w:r>
        <w:rPr>
          <w:bCs/>
          <w:b/>
        </w:rPr>
        <w:t xml:space="preserve">Client Acquisition Growth:</w:t>
      </w:r>
      <w:r>
        <w:t xml:space="preserve"> </w:t>
      </w:r>
      <w:r>
        <w:t xml:space="preserve">37 new high-value corporate clients onboarded in Munich, including three DAX-listed companies seeking tailored treasury solutions.</w:t>
      </w:r>
    </w:p>
    <w:p>
      <w:pPr>
        <w:numPr>
          <w:ilvl w:val="0"/>
          <w:numId w:val="1001"/>
        </w:numPr>
        <w:pStyle w:val="Compact"/>
      </w:pPr>
      <w:r>
        <w:rPr>
          <w:bCs/>
          <w:b/>
        </w:rPr>
        <w:t xml:space="preserve">Portfolio Expansion:</w:t>
      </w:r>
      <w:r>
        <w:t xml:space="preserve"> </w:t>
      </w:r>
      <w:r>
        <w:t xml:space="preserve">A 28% year-over-year increase in cross-sold wealth management products among existing HNWI clients, leveraging localized family office strategies common in Bavaria.</w:t>
      </w:r>
    </w:p>
    <w:p>
      <w:pPr>
        <w:numPr>
          <w:ilvl w:val="0"/>
          <w:numId w:val="1001"/>
        </w:numPr>
        <w:pStyle w:val="Compact"/>
      </w:pPr>
      <w:r>
        <w:rPr>
          <w:bCs/>
          <w:b/>
        </w:rPr>
        <w:t xml:space="preserve">Deal Velocity:</w:t>
      </w:r>
      <w:r>
        <w:t xml:space="preserve"> </w:t>
      </w:r>
      <w:r>
        <w:t xml:space="preserve">Reduced sales cycle time by 22% through Munich-specific networking (e.g., strategic partnerships with BMW Group’s finance department and Messe München events).</w:t>
      </w:r>
    </w:p>
    <w:p>
      <w:pPr>
        <w:numPr>
          <w:ilvl w:val="0"/>
          <w:numId w:val="1001"/>
        </w:numPr>
        <w:pStyle w:val="Compact"/>
      </w:pPr>
      <w:r>
        <w:rPr>
          <w:bCs/>
          <w:b/>
        </w:rPr>
        <w:t xml:space="preserve">Sales Conversion Rate:</w:t>
      </w:r>
      <w:r>
        <w:t xml:space="preserve"> </w:t>
      </w:r>
      <w:r>
        <w:t xml:space="preserve">Achieved 41%—exceeding the Germany-wide average of 32%—by aligning sales pitches with Munich’s preference for data-driven, low-risk financial planning.</w:t>
      </w:r>
    </w:p>
    <w:bookmarkEnd w:id="22"/>
    <w:bookmarkStart w:id="23" w:name="X20c9c5546782a7347925a54faa6ea13fa38aa7c"/>
    <w:p>
      <w:pPr>
        <w:pStyle w:val="Heading2"/>
      </w:pPr>
      <w:r>
        <w:t xml:space="preserve">Strategic Adaptation to Munich’s Unique Market</w:t>
      </w:r>
    </w:p>
    <w:p>
      <w:pPr>
        <w:pStyle w:val="FirstParagraph"/>
      </w:pPr>
      <w:r>
        <w:t xml:space="preserve">What distinguishes this Banker’s approach is the hyper-localized strategy implemented in Germany Munich. Unlike generic sales tactics, the Banker conducted deep cultural immersion, including:</w:t>
      </w:r>
    </w:p>
    <w:p>
      <w:pPr>
        <w:numPr>
          <w:ilvl w:val="0"/>
          <w:numId w:val="1002"/>
        </w:numPr>
        <w:pStyle w:val="Compact"/>
      </w:pPr>
      <w:r>
        <w:rPr>
          <w:bCs/>
          <w:b/>
        </w:rPr>
        <w:t xml:space="preserve">Industry-Specific Knowledge:</w:t>
      </w:r>
      <w:r>
        <w:t xml:space="preserve"> </w:t>
      </w:r>
      <w:r>
        <w:t xml:space="preserve">Mastering Munich’s automotive and engineering sector nuances (e.g., supply chain financing for Siemens Mobility partners), directly informing client solutions.</w:t>
      </w:r>
    </w:p>
    <w:p>
      <w:pPr>
        <w:numPr>
          <w:ilvl w:val="0"/>
          <w:numId w:val="1002"/>
        </w:numPr>
        <w:pStyle w:val="Compact"/>
      </w:pPr>
      <w:r>
        <w:rPr>
          <w:bCs/>
          <w:b/>
        </w:rPr>
        <w:t xml:space="preserve">Regulatory Precision:</w:t>
      </w:r>
      <w:r>
        <w:t xml:space="preserve"> </w:t>
      </w:r>
      <w:r>
        <w:t xml:space="preserve">Navigating Germany’s stringent GDPR and anti-money laundering (AML) frameworks with 100% compliance in all client engagements, a critical trust-builder in Munich’s legal climate.</w:t>
      </w:r>
    </w:p>
    <w:p>
      <w:pPr>
        <w:numPr>
          <w:ilvl w:val="0"/>
          <w:numId w:val="1002"/>
        </w:numPr>
        <w:pStyle w:val="Compact"/>
      </w:pPr>
      <w:r>
        <w:rPr>
          <w:bCs/>
          <w:b/>
        </w:rPr>
        <w:t xml:space="preserve">Cultural Intelligence:</w:t>
      </w:r>
      <w:r>
        <w:t xml:space="preserve"> </w:t>
      </w:r>
      <w:r>
        <w:t xml:space="preserve">Adapting communication to reflect Bavarian business etiquette—emphasizing personal rapport over digital-only interactions—resulting in a 92% client retention rate among Munich-based SMEs.</w:t>
      </w:r>
    </w:p>
    <w:bookmarkEnd w:id="23"/>
    <w:bookmarkStart w:id="24" w:name="X2df6c6f92db0f0b3db34d7a299dbbe6b212783e"/>
    <w:p>
      <w:pPr>
        <w:pStyle w:val="Heading2"/>
      </w:pPr>
      <w:r>
        <w:t xml:space="preserve">Challenges Encountered &amp; Strategic Mitigation</w:t>
      </w:r>
    </w:p>
    <w:p>
      <w:pPr>
        <w:pStyle w:val="FirstParagraph"/>
      </w:pPr>
      <w:r>
        <w:t xml:space="preserve">The Sales Report identifies three key challenges specific to operating as a Banker in Germany Munich:</w:t>
      </w:r>
    </w:p>
    <w:p>
      <w:pPr>
        <w:numPr>
          <w:ilvl w:val="0"/>
          <w:numId w:val="1003"/>
        </w:numPr>
        <w:pStyle w:val="Compact"/>
      </w:pPr>
      <w:r>
        <w:rPr>
          <w:iCs/>
          <w:i/>
        </w:rPr>
        <w:t xml:space="preserve">Competitive Landscape:</w:t>
      </w:r>
      <w:r>
        <w:t xml:space="preserve"> </w:t>
      </w:r>
      <w:r>
        <w:t xml:space="preserve">Intense rivalry from Deutsche Bank and local Sparkassen. *Mitigation:* The Munich-based Banker leveraged exclusive partnerships with the BMW Group’s finance division to secure a first-mover advantage on ESG-linked financing for Bavarian automakers.</w:t>
      </w:r>
    </w:p>
    <w:p>
      <w:pPr>
        <w:numPr>
          <w:ilvl w:val="0"/>
          <w:numId w:val="1003"/>
        </w:numPr>
        <w:pStyle w:val="Compact"/>
      </w:pPr>
      <w:r>
        <w:rPr>
          <w:iCs/>
          <w:i/>
        </w:rPr>
        <w:t xml:space="preserve">Economic Volatility:</w:t>
      </w:r>
      <w:r>
        <w:t xml:space="preserve"> </w:t>
      </w:r>
      <w:r>
        <w:t xml:space="preserve">Germany’s 2023 GDP growth slowdown (0.1%) impacting corporate spending. *Mitigation:* The Banker pivoted sales focus toward high-demand liquidity solutions, capturing 15% of Munich-based firms’ short-term treasury needs.</w:t>
      </w:r>
    </w:p>
    <w:p>
      <w:pPr>
        <w:numPr>
          <w:ilvl w:val="0"/>
          <w:numId w:val="1003"/>
        </w:numPr>
        <w:pStyle w:val="Compact"/>
      </w:pPr>
      <w:r>
        <w:rPr>
          <w:iCs/>
          <w:i/>
        </w:rPr>
        <w:t xml:space="preserve">Client Expectations:</w:t>
      </w:r>
      <w:r>
        <w:t xml:space="preserve"> </w:t>
      </w:r>
      <w:r>
        <w:t xml:space="preserve">Munich clients demand bespoke solutions, not off-the-shelf products. *Mitigation:* Co-created financial roadmaps with each client—e.g., a custom supply chain finance model for a Munich aerospace supplier—resulting in 3x average contract value.</w:t>
      </w:r>
    </w:p>
    <w:bookmarkEnd w:id="24"/>
    <w:bookmarkStart w:id="25" w:name="Xbea1b845e3e1ebd8719a0d5a0318e2d52a74472"/>
    <w:p>
      <w:pPr>
        <w:pStyle w:val="Heading2"/>
      </w:pPr>
      <w:r>
        <w:t xml:space="preserve">Munich-Specific Sales Initiatives Driving Results</w:t>
      </w:r>
    </w:p>
    <w:p>
      <w:pPr>
        <w:pStyle w:val="FirstParagraph"/>
      </w:pPr>
      <w:r>
        <w:t xml:space="preserve">This Sales Report emphasizes initiatives uniquely crafted for Germany Munich:</w:t>
      </w:r>
    </w:p>
    <w:p>
      <w:pPr>
        <w:numPr>
          <w:ilvl w:val="0"/>
          <w:numId w:val="1004"/>
        </w:numPr>
        <w:pStyle w:val="Compact"/>
      </w:pPr>
      <w:r>
        <w:rPr>
          <w:bCs/>
          <w:b/>
        </w:rPr>
        <w:t xml:space="preserve">“Munich Business Circle” Networking:</w:t>
      </w:r>
      <w:r>
        <w:t xml:space="preserve"> </w:t>
      </w:r>
      <w:r>
        <w:t xml:space="preserve">Hosting quarterly intimate roundtables at the Bayerischer Hof hotel, attracting 120+ decision-makers (including executives from Siemens Energy and Allianz). This initiative directly generated 23% of new leads.</w:t>
      </w:r>
    </w:p>
    <w:p>
      <w:pPr>
        <w:numPr>
          <w:ilvl w:val="0"/>
          <w:numId w:val="1004"/>
        </w:numPr>
        <w:pStyle w:val="Compact"/>
      </w:pPr>
      <w:r>
        <w:rPr>
          <w:bCs/>
          <w:b/>
        </w:rPr>
        <w:t xml:space="preserve">Localization of Digital Tools:</w:t>
      </w:r>
      <w:r>
        <w:t xml:space="preserve"> </w:t>
      </w:r>
      <w:r>
        <w:t xml:space="preserve">Adapting CRM analytics to track Munich-specific KPIs (e.g., “Bavaria Industry Index”), enabling the Banker to predict sectoral needs 6 months in advance.</w:t>
      </w:r>
    </w:p>
    <w:p>
      <w:pPr>
        <w:numPr>
          <w:ilvl w:val="0"/>
          <w:numId w:val="1004"/>
        </w:numPr>
        <w:pStyle w:val="Compact"/>
      </w:pPr>
      <w:r>
        <w:rPr>
          <w:bCs/>
          <w:b/>
        </w:rPr>
        <w:t xml:space="preserve">Sustainability-Driven Sales Pitch:</w:t>
      </w:r>
      <w:r>
        <w:t xml:space="preserve"> </w:t>
      </w:r>
      <w:r>
        <w:t xml:space="preserve">Aligning with Munich’s climate goals (e.g., BMW’s 2030 carbon neutrality target) to position green loans as a strategic imperative, securing €45M in ESG financing deals.</w:t>
      </w:r>
    </w:p>
    <w:bookmarkEnd w:id="25"/>
    <w:bookmarkStart w:id="26" w:name="future-outlook-strategic-recommendations"/>
    <w:p>
      <w:pPr>
        <w:pStyle w:val="Heading2"/>
      </w:pPr>
      <w:r>
        <w:t xml:space="preserve">Future Outlook &amp; Strategic Recommendations</w:t>
      </w:r>
    </w:p>
    <w:p>
      <w:pPr>
        <w:pStyle w:val="FirstParagraph"/>
      </w:pPr>
      <w:r>
        <w:t xml:space="preserve">Based on Q3 performance, the Sales Report recommends scaling this Munich Banker’s model across Germany. Key actions include:</w:t>
      </w:r>
    </w:p>
    <w:p>
      <w:pPr>
        <w:numPr>
          <w:ilvl w:val="0"/>
          <w:numId w:val="1005"/>
        </w:numPr>
        <w:pStyle w:val="Compact"/>
      </w:pPr>
      <w:r>
        <w:rPr>
          <w:bCs/>
          <w:b/>
        </w:rPr>
        <w:t xml:space="preserve">Expand Munich-Centric Product Suite:</w:t>
      </w:r>
      <w:r>
        <w:t xml:space="preserve"> </w:t>
      </w:r>
      <w:r>
        <w:t xml:space="preserve">Develop a dedicated “Bavaria Growth Package” for SMEs, integrating tax incentives from Bavarian state policies (e.g., reduced corporate rates for tech firms in Munich Innovation Park).</w:t>
      </w:r>
    </w:p>
    <w:p>
      <w:pPr>
        <w:numPr>
          <w:ilvl w:val="0"/>
          <w:numId w:val="1005"/>
        </w:numPr>
        <w:pStyle w:val="Compact"/>
      </w:pPr>
      <w:r>
        <w:rPr>
          <w:bCs/>
          <w:b/>
        </w:rPr>
        <w:t xml:space="preserve">Invest in Local Talent Pipeline:</w:t>
      </w:r>
      <w:r>
        <w:t xml:space="preserve"> </w:t>
      </w:r>
      <w:r>
        <w:t xml:space="preserve">Partner with Ludwig-Maximilians University (LMU) to recruit German-speaking financial analysts specializing in Munich’s industrial economy.</w:t>
      </w:r>
    </w:p>
    <w:p>
      <w:pPr>
        <w:numPr>
          <w:ilvl w:val="0"/>
          <w:numId w:val="1005"/>
        </w:numPr>
        <w:pStyle w:val="Compact"/>
      </w:pPr>
      <w:r>
        <w:rPr>
          <w:bCs/>
          <w:b/>
        </w:rPr>
        <w:t xml:space="preserve">Leverage Munich’s Global Hub Status:</w:t>
      </w:r>
      <w:r>
        <w:t xml:space="preserve"> </w:t>
      </w:r>
      <w:r>
        <w:t xml:space="preserve">Target international firms establishing EU headquarters in Munich (e.g., Tesla’s European operations), positioning our Banker as the bridge for cross-border transactions.</w:t>
      </w:r>
    </w:p>
    <w:bookmarkEnd w:id="26"/>
    <w:bookmarkStart w:id="27" w:name="Xbfc2adbfe4075b5a6f7ced1cb439c259daa7ba3"/>
    <w:p>
      <w:pPr>
        <w:pStyle w:val="Heading2"/>
      </w:pPr>
      <w:r>
        <w:t xml:space="preserve">Conclusion: The Munich Banker as a Growth Catalyst</w:t>
      </w:r>
    </w:p>
    <w:p>
      <w:pPr>
        <w:pStyle w:val="FirstParagraph"/>
      </w:pPr>
      <w:r>
        <w:t xml:space="preserve">This Sales Report unequivocally validates that our Banker’s on-the-ground expertise in Germany Munich is not merely beneficial—it is transformative. By embedding local market intelligence into every sales interaction, the Banker has turned regional complexities into unparalleled revenue streams. As Germany’s financial landscape evolves, Munich remains the proving ground for innovation; this Banker doesn’t just operate within it—he shapes its future. With a 30% projected growth trajectory for Q4 2023 (backed by Munich’s strong industrial recovery), the strategic foundation laid in this Sales Report ensures our team will remain at the vanguard of German banking excellence.</w:t>
      </w:r>
    </w:p>
    <w:p>
      <w:pPr>
        <w:pStyle w:val="BodyText"/>
      </w:pPr>
      <w:r>
        <w:rPr>
          <w:bCs/>
          <w:b/>
        </w:rPr>
        <w:t xml:space="preserve">Prepared By:</w:t>
      </w:r>
      <w:r>
        <w:t xml:space="preserve"> </w:t>
      </w:r>
      <w:r>
        <w:t xml:space="preserve">Strategic Sales Intelligence Division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Performance of the Munich-Based Banker - Germany</dc:title>
  <dc:creator/>
  <cp:keywords/>
  <dcterms:created xsi:type="dcterms:W3CDTF">2026-07-23T05:36:37Z</dcterms:created>
  <dcterms:modified xsi:type="dcterms:W3CDTF">2026-07-23T05:36:37Z</dcterms:modified>
</cp:coreProperties>
</file>

<file path=docProps/custom.xml><?xml version="1.0" encoding="utf-8"?>
<Properties xmlns="http://schemas.openxmlformats.org/officeDocument/2006/custom-properties" xmlns:vt="http://schemas.openxmlformats.org/officeDocument/2006/docPropsVTypes"/>
</file>