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Ghana</w:t>
      </w:r>
      <w:r>
        <w:t xml:space="preserve"> </w:t>
      </w:r>
      <w:r>
        <w:t xml:space="preserve">Accra</w:t>
      </w:r>
      <w:r>
        <w:t xml:space="preserve"> </w:t>
      </w:r>
      <w:r>
        <w:t xml:space="preserve">Sales</w:t>
      </w:r>
      <w:r>
        <w:t xml:space="preserve"> </w:t>
      </w:r>
      <w:r>
        <w:t xml:space="preserve">Report</w:t>
      </w:r>
      <w:r>
        <w:t xml:space="preserve"> </w:t>
      </w:r>
      <w:r>
        <w:t xml:space="preserve">for</w:t>
      </w:r>
      <w:r>
        <w:t xml:space="preserve"> </w:t>
      </w:r>
      <w:r>
        <w:t xml:space="preserve">Banker</w:t>
      </w:r>
      <w:r>
        <w:t xml:space="preserve"> </w:t>
      </w:r>
      <w:r>
        <w:t xml:space="preserve">|</w:t>
      </w:r>
      <w:r>
        <w:t xml:space="preserve"> </w:t>
      </w:r>
      <w:r>
        <w:t xml:space="preserve">Q3</w:t>
      </w:r>
      <w:r>
        <w:t xml:space="preserve"> </w:t>
      </w:r>
      <w:r>
        <w:t xml:space="preserve">2023</w:t>
      </w:r>
    </w:p>
    <w:bookmarkStart w:id="30" w:name="X24e36669745ef9c3b92cf2fbc8f43f77853e3de"/>
    <w:p>
      <w:pPr>
        <w:pStyle w:val="Heading1"/>
      </w:pPr>
      <w:r>
        <w:t xml:space="preserve">Quarterly Sales Performance Report: Ghana Accra Banking Operations</w:t>
      </w:r>
    </w:p>
    <w:bookmarkStart w:id="29" w:name="X1f7d00e0973c4e77cedee4a0ef13590601fd33f"/>
    <w:p>
      <w:pPr>
        <w:pStyle w:val="Heading2"/>
      </w:pPr>
      <w:r>
        <w:t xml:space="preserve">Prepared For: Senior Banking Leadership &amp; Stakeholders</w:t>
      </w:r>
    </w:p>
    <w:p>
      <w:pPr>
        <w:pStyle w:val="FirstParagraph"/>
      </w:pPr>
      <w:r>
        <w:rPr>
          <w:bCs/>
          <w:b/>
        </w:rPr>
        <w:t xml:space="preserve">Date:</w:t>
      </w:r>
      <w:r>
        <w:t xml:space="preserve"> </w:t>
      </w:r>
      <w:r>
        <w:t xml:space="preserve">October 26, 2023 |</w:t>
      </w:r>
      <w:r>
        <w:t xml:space="preserve"> </w:t>
      </w:r>
      <w:r>
        <w:rPr>
          <w:bCs/>
          <w:b/>
        </w:rPr>
        <w:t xml:space="preserve">Reporting Period:</w:t>
      </w:r>
      <w:r>
        <w:t xml:space="preserve"> </w:t>
      </w:r>
      <w:r>
        <w:t xml:space="preserve">July 1 - September 30, 2023</w:t>
      </w:r>
    </w:p>
    <w:bookmarkStart w:id="20" w:name="i.-executive-summary"/>
    <w:p>
      <w:pPr>
        <w:pStyle w:val="Heading3"/>
      </w:pPr>
      <w:r>
        <w:t xml:space="preserve">I. Executive Summary</w:t>
      </w:r>
    </w:p>
    <w:p>
      <w:pPr>
        <w:pStyle w:val="FirstParagraph"/>
      </w:pPr>
      <w:r>
        <w:t xml:space="preserve">This comprehensive Sales Report details the performance of our Banking operations in Ghana's financial capital, Accra. As a premier Banker serving the dynamic markets of Accra, we achieved remarkable growth across key product lines during Q3 2023. The Banker team in Accra surpassed quarterly targets by 18.7%, driving significant revenue growth while strengthening customer relationships across Ghana's most strategic metropolitan hub. This report underscores how our localized approach to banking in Accra has positioned us as a market leader through exceptional sales execution and community-centric service.</w:t>
      </w:r>
    </w:p>
    <w:bookmarkEnd w:id="20"/>
    <w:bookmarkStart w:id="22" w:name="X7e4ff4aac30a8be9fad026da12fafa3e02805ae"/>
    <w:p>
      <w:pPr>
        <w:pStyle w:val="Heading3"/>
      </w:pPr>
      <w:r>
        <w:t xml:space="preserve">II. Sales Performance Highlights (Ghana Accra Focus)</w:t>
      </w:r>
    </w:p>
    <w:p>
      <w:pPr>
        <w:pStyle w:val="FirstParagraph"/>
      </w:pPr>
      <w:r>
        <w:rPr>
          <w:bCs/>
          <w:b/>
        </w:rPr>
        <w:t xml:space="preserve">Overall Achievement:</w:t>
      </w:r>
      <w:r>
        <w:t xml:space="preserve"> </w:t>
      </w:r>
      <w:r>
        <w:t xml:space="preserve">Total sales volume reached GH¢142.7 million, representing 126% of quarterly target with a 23% YoY increase. This growth is directly attributed to the Banker's hyper-localized strategies implemented across Accra branches.</w:t>
      </w:r>
    </w:p>
    <w:p>
      <w:pPr>
        <w:pStyle w:val="BodyText"/>
      </w:pPr>
      <w:r>
        <w:t xml:space="preserve">Product Line</w:t>
      </w:r>
    </w:p>
    <w:p>
      <w:pPr>
        <w:pStyle w:val="BodyText"/>
      </w:pPr>
      <w:r>
        <w:t xml:space="preserve">Q3 Target (GH¢)</w:t>
      </w:r>
    </w:p>
    <w:p>
      <w:pPr>
        <w:pStyle w:val="BodyText"/>
      </w:pPr>
      <w:r>
        <w:t xml:space="preserve">Actual Sales (GH¢)</w:t>
      </w:r>
    </w:p>
    <w:p>
      <w:pPr>
        <w:pStyle w:val="BodyText"/>
      </w:pPr>
      <w:r>
        <w:t xml:space="preserve">% of Target</w:t>
      </w:r>
    </w:p>
    <w:bookmarkStart w:id="21" w:name="accra-specific-impact"/>
    <w:p>
      <w:pPr>
        <w:pStyle w:val="Heading4"/>
      </w:pPr>
      <w:r>
        <w:t xml:space="preserve">Accra-Specific Impact</w:t>
      </w:r>
    </w:p>
    <w:p>
      <w:pPr>
        <w:pStyle w:val="FirstParagraph"/>
      </w:pPr>
      <w:r>
        <w:t xml:space="preserve">Commercial Banking Solutions</w:t>
      </w:r>
    </w:p>
    <w:p>
      <w:pPr>
        <w:pStyle w:val="BodyText"/>
      </w:pPr>
      <w:r>
        <w:t xml:space="preserve">52.5M</w:t>
      </w:r>
    </w:p>
    <w:p>
      <w:pPr>
        <w:pStyle w:val="BodyText"/>
      </w:pPr>
      <w:r>
        <w:t xml:space="preserve">67.9M</w:t>
      </w:r>
    </w:p>
    <w:p>
      <w:pPr>
        <w:pStyle w:val="BodyText"/>
      </w:pPr>
      <w:r>
        <w:t xml:space="preserve">129%</w:t>
      </w:r>
    </w:p>
    <w:p>
      <w:pPr>
        <w:pStyle w:val="BodyText"/>
      </w:pPr>
      <w:r>
        <w:t xml:space="preserve">Retail Loan Portfolio (MSMEs)</w:t>
      </w:r>
    </w:p>
    <w:p>
      <w:pPr>
        <w:pStyle w:val="BodyText"/>
      </w:pPr>
      <w:r>
        <w:t xml:space="preserve">38.2M</w:t>
      </w:r>
    </w:p>
    <w:p>
      <w:pPr>
        <w:pStyle w:val="BodyText"/>
      </w:pPr>
      <w:r>
        <w:t xml:space="preserve">45.6M</w:t>
      </w:r>
    </w:p>
    <w:p>
      <w:pPr>
        <w:pStyle w:val="BodyText"/>
      </w:pPr>
      <w:r>
        <w:t xml:space="preserve">119%</w:t>
      </w:r>
    </w:p>
    <w:p>
      <w:pPr>
        <w:pStyle w:val="BodyText"/>
      </w:pPr>
      <w:r>
        <w:t xml:space="preserve">Digital Banking Adoption</w:t>
      </w:r>
    </w:p>
    <w:p>
      <w:pPr>
        <w:pStyle w:val="BodyText"/>
      </w:pPr>
      <w:r>
        <w:t xml:space="preserve">25.3M</w:t>
      </w:r>
    </w:p>
    <w:p>
      <w:pPr>
        <w:pStyle w:val="BodyText"/>
      </w:pPr>
      <w:r>
        <w:t xml:space="preserve">32.4M</w:t>
      </w:r>
    </w:p>
    <w:p>
      <w:pPr>
        <w:pStyle w:val="BodyText"/>
      </w:pPr>
      <w:r>
        <w:t xml:space="preserve">128%</w:t>
      </w:r>
    </w:p>
    <w:p>
      <w:pPr>
        <w:pStyle w:val="BodyText"/>
      </w:pPr>
      <w:r>
        <w:t xml:space="preserve">Wealth Management Services</w:t>
      </w:r>
    </w:p>
    <w:p>
      <w:pPr>
        <w:pStyle w:val="BodyText"/>
      </w:pPr>
      <w:r>
        <w:t xml:space="preserve">17.4M</w:t>
      </w:r>
    </w:p>
    <w:p>
      <w:pPr>
        <w:pStyle w:val="BodyText"/>
      </w:pPr>
      <w:r>
        <w:t xml:space="preserve">20.8M</w:t>
      </w:r>
    </w:p>
    <w:p>
      <w:pPr>
        <w:pStyle w:val="BodyText"/>
      </w:pPr>
      <w:r>
        <w:t xml:space="preserve">120%</w:t>
      </w:r>
    </w:p>
    <w:bookmarkEnd w:id="21"/>
    <w:bookmarkEnd w:id="22"/>
    <w:bookmarkStart w:id="23" w:name="Xa28884903cab9c4060cf7094f4295a509cf37b0"/>
    <w:p>
      <w:pPr>
        <w:pStyle w:val="Heading3"/>
      </w:pPr>
      <w:r>
        <w:t xml:space="preserve">III. Ghana Accra Market Analysis &amp; Competitive Positioning</w:t>
      </w:r>
    </w:p>
    <w:p>
      <w:pPr>
        <w:pStyle w:val="FirstParagraph"/>
      </w:pPr>
      <w:r>
        <w:t xml:space="preserve">The Banker's success in Accra stems from understanding the unique economic ecosystem of Ghana's capital. With Accra contributing 42% of Ghana's GDP and hosting 68% of all commercial banking operations, our strategic focus here has been paramount. Key insights include:</w:t>
      </w:r>
    </w:p>
    <w:p>
      <w:pPr>
        <w:numPr>
          <w:ilvl w:val="0"/>
          <w:numId w:val="1001"/>
        </w:numPr>
        <w:pStyle w:val="Compact"/>
      </w:pPr>
      <w:r>
        <w:rPr>
          <w:bCs/>
          <w:b/>
        </w:rPr>
        <w:t xml:space="preserve">MSME Dominance:</w:t>
      </w:r>
      <w:r>
        <w:t xml:space="preserve"> </w:t>
      </w:r>
      <w:r>
        <w:t xml:space="preserve">Accra-based small businesses (accounting for 79% of local enterprises) drove 65% of our commercial loan growth through tailored financing solutions</w:t>
      </w:r>
    </w:p>
    <w:p>
      <w:pPr>
        <w:numPr>
          <w:ilvl w:val="0"/>
          <w:numId w:val="1001"/>
        </w:numPr>
        <w:pStyle w:val="Compact"/>
      </w:pPr>
      <w:r>
        <w:rPr>
          <w:bCs/>
          <w:b/>
        </w:rPr>
        <w:t xml:space="preserve">Digital Transformation:</w:t>
      </w:r>
      <w:r>
        <w:t xml:space="preserve"> </w:t>
      </w:r>
      <w:r>
        <w:t xml:space="preserve">Accra's mobile banking penetration (82%) enabled us to onboard 12,400 new digital customers in Q3 – outpacing national average by 37%</w:t>
      </w:r>
    </w:p>
    <w:p>
      <w:pPr>
        <w:numPr>
          <w:ilvl w:val="0"/>
          <w:numId w:val="1001"/>
        </w:numPr>
        <w:pStyle w:val="Compact"/>
      </w:pPr>
      <w:r>
        <w:rPr>
          <w:bCs/>
          <w:b/>
        </w:rPr>
        <w:t xml:space="preserve">Competitive Edge:</w:t>
      </w:r>
      <w:r>
        <w:t xml:space="preserve"> </w:t>
      </w:r>
      <w:r>
        <w:t xml:space="preserve">Our Banker team in Accra achieved 19.5% market share in commercial lending – a 4.2-point lead over nearest competitor due to rapid loan processing (&lt;5 business days)</w:t>
      </w:r>
    </w:p>
    <w:bookmarkEnd w:id="23"/>
    <w:bookmarkStart w:id="24" w:name="X23fb774b21204b5c305a4a91798ef5f5450a0d6"/>
    <w:p>
      <w:pPr>
        <w:pStyle w:val="Heading3"/>
      </w:pPr>
      <w:r>
        <w:t xml:space="preserve">IV. Success Factors: The Ghana Accra Banker Advantage</w:t>
      </w:r>
    </w:p>
    <w:p>
      <w:pPr>
        <w:pStyle w:val="FirstParagraph"/>
      </w:pPr>
      <w:r>
        <w:t xml:space="preserve">This report identifies three pillars behind our Accra sales dominance, demonstrating why the Banker role is indispensable in Ghana's financial landscape:</w:t>
      </w:r>
    </w:p>
    <w:p>
      <w:pPr>
        <w:numPr>
          <w:ilvl w:val="0"/>
          <w:numId w:val="1002"/>
        </w:numPr>
        <w:pStyle w:val="Compact"/>
      </w:pPr>
      <w:r>
        <w:rPr>
          <w:bCs/>
          <w:b/>
        </w:rPr>
        <w:t xml:space="preserve">Community-Embedded Banking:</w:t>
      </w:r>
      <w:r>
        <w:t xml:space="preserve"> </w:t>
      </w:r>
      <w:r>
        <w:t xml:space="preserve">Our Accra-based bankers established 47 new partnerships with key associations (including Accra Chamber of Commerce and Manufacturers Association) to co-design solutions for local business pain points.</w:t>
      </w:r>
    </w:p>
    <w:p>
      <w:pPr>
        <w:numPr>
          <w:ilvl w:val="0"/>
          <w:numId w:val="1002"/>
        </w:numPr>
        <w:pStyle w:val="Compact"/>
      </w:pPr>
      <w:r>
        <w:rPr>
          <w:bCs/>
          <w:b/>
        </w:rPr>
        <w:t xml:space="preserve">Cultural Intelligence:</w:t>
      </w:r>
      <w:r>
        <w:t xml:space="preserve"> </w:t>
      </w:r>
      <w:r>
        <w:t xml:space="preserve">Bankers in Ghana Accra leveraged deep understanding of local business practices – implementing flexible repayment structures aligned with agricultural cycles and market days.</w:t>
      </w:r>
    </w:p>
    <w:p>
      <w:pPr>
        <w:numPr>
          <w:ilvl w:val="0"/>
          <w:numId w:val="1002"/>
        </w:numPr>
        <w:pStyle w:val="Compact"/>
      </w:pPr>
      <w:r>
        <w:rPr>
          <w:bCs/>
          <w:b/>
        </w:rPr>
        <w:t xml:space="preserve">Hyper-Local Digital Integration:</w:t>
      </w:r>
      <w:r>
        <w:t xml:space="preserve"> </w:t>
      </w:r>
      <w:r>
        <w:t xml:space="preserve">Developed the "Accra Business Pulse" app featuring Akan language support and location-based merchant network access, driving 41% higher engagement among Accra SMEs.</w:t>
      </w:r>
    </w:p>
    <w:bookmarkEnd w:id="24"/>
    <w:bookmarkStart w:id="25" w:name="Xdbc145b4a8ed4269be35d857b361539fa876792"/>
    <w:p>
      <w:pPr>
        <w:pStyle w:val="Heading3"/>
      </w:pPr>
      <w:r>
        <w:t xml:space="preserve">V. Challenges &amp; Strategic Response (Ghana Context)</w:t>
      </w:r>
    </w:p>
    <w:p>
      <w:pPr>
        <w:pStyle w:val="FirstParagraph"/>
      </w:pPr>
      <w:r>
        <w:t xml:space="preserve">Despite strong performance, the Banker team in Accra navigated significant market headwinds:</w:t>
      </w:r>
    </w:p>
    <w:p>
      <w:pPr>
        <w:numPr>
          <w:ilvl w:val="0"/>
          <w:numId w:val="1003"/>
        </w:numPr>
        <w:pStyle w:val="Compact"/>
      </w:pPr>
      <w:r>
        <w:rPr>
          <w:bCs/>
          <w:b/>
        </w:rPr>
        <w:t xml:space="preserve">Currency Volatility:</w:t>
      </w:r>
      <w:r>
        <w:t xml:space="preserve"> </w:t>
      </w:r>
      <w:r>
        <w:t xml:space="preserve">Ghana's exchange rate fluctuations impacted business loan demand. The Banker team mitigated this by introducing multi-currency financing options for export-focused Accra businesses, securing 32 new contracts.</w:t>
      </w:r>
    </w:p>
    <w:p>
      <w:pPr>
        <w:numPr>
          <w:ilvl w:val="0"/>
          <w:numId w:val="1003"/>
        </w:numPr>
        <w:pStyle w:val="Compact"/>
      </w:pPr>
      <w:r>
        <w:rPr>
          <w:bCs/>
          <w:b/>
        </w:rPr>
        <w:t xml:space="preserve">Regulatory Shifts:</w:t>
      </w:r>
      <w:r>
        <w:t xml:space="preserve"> </w:t>
      </w:r>
      <w:r>
        <w:t xml:space="preserve">New Bank of Ghana digital banking guidelines required immediate adaptation. Our Accra-based compliance specialists developed training modules that reduced onboarding time by 33% while ensuring full regulatory alignment.</w:t>
      </w:r>
    </w:p>
    <w:bookmarkEnd w:id="25"/>
    <w:bookmarkStart w:id="26" w:name="X071e3b38670c49b37c2dab08903c1fb0126253b"/>
    <w:p>
      <w:pPr>
        <w:pStyle w:val="Heading3"/>
      </w:pPr>
      <w:r>
        <w:t xml:space="preserve">VI. Recommendations for Future Sales Growth (Accra Focus)</w:t>
      </w:r>
    </w:p>
    <w:p>
      <w:pPr>
        <w:pStyle w:val="FirstParagraph"/>
      </w:pPr>
      <w:r>
        <w:t xml:space="preserve">To sustain our momentum as the leading Banker in Ghana Accra, we propose these data-driven initiatives:</w:t>
      </w:r>
    </w:p>
    <w:p>
      <w:pPr>
        <w:numPr>
          <w:ilvl w:val="0"/>
          <w:numId w:val="1004"/>
        </w:numPr>
        <w:pStyle w:val="Compact"/>
      </w:pPr>
      <w:r>
        <w:rPr>
          <w:bCs/>
          <w:b/>
        </w:rPr>
        <w:t xml:space="preserve">Expand Accra-Specific Product Suite:</w:t>
      </w:r>
      <w:r>
        <w:t xml:space="preserve"> </w:t>
      </w:r>
      <w:r>
        <w:t xml:space="preserve">Launch "Accra Trade Finance" package with customs documentation support for port-related businesses (addressing 68% of SME pain points in Tema/Port Accra corridors)</w:t>
      </w:r>
    </w:p>
    <w:p>
      <w:pPr>
        <w:numPr>
          <w:ilvl w:val="0"/>
          <w:numId w:val="1004"/>
        </w:numPr>
        <w:pStyle w:val="Compact"/>
      </w:pPr>
      <w:r>
        <w:rPr>
          <w:bCs/>
          <w:b/>
        </w:rPr>
        <w:t xml:space="preserve">Strengthen Community Banking Hubs:</w:t>
      </w:r>
      <w:r>
        <w:t xml:space="preserve"> </w:t>
      </w:r>
      <w:r>
        <w:t xml:space="preserve">Establish 3 new neighborhood banking centers in high-growth Accra districts (including Ashaiman and Kaneshie) to capture emerging markets</w:t>
      </w:r>
    </w:p>
    <w:p>
      <w:pPr>
        <w:numPr>
          <w:ilvl w:val="0"/>
          <w:numId w:val="1004"/>
        </w:numPr>
        <w:pStyle w:val="Compact"/>
      </w:pPr>
      <w:r>
        <w:rPr>
          <w:bCs/>
          <w:b/>
        </w:rPr>
        <w:t xml:space="preserve">Digital Upskilling Program:</w:t>
      </w:r>
      <w:r>
        <w:t xml:space="preserve"> </w:t>
      </w:r>
      <w:r>
        <w:t xml:space="preserve">Partner with Accra University to create "Banking for Ghana" certification – targeting 1,500 local bankers by Q2 2024 for enhanced sales capability</w:t>
      </w:r>
    </w:p>
    <w:bookmarkEnd w:id="26"/>
    <w:bookmarkStart w:id="27" w:name="Xe8fe946b1a62bba71db1650ccb3c172199af68e"/>
    <w:p>
      <w:pPr>
        <w:pStyle w:val="Heading3"/>
      </w:pPr>
      <w:r>
        <w:t xml:space="preserve">VII. Conclusion: The Banker's Strategic Value in Ghana Accra</w:t>
      </w:r>
    </w:p>
    <w:p>
      <w:pPr>
        <w:pStyle w:val="FirstParagraph"/>
      </w:pPr>
      <w:r>
        <w:t xml:space="preserve">This Sales Report affirms that the Banker role is not merely a position but a strategic imperative for success in Ghana's premier financial market. Our Accra operations have proven that localized banking expertise directly correlates with sales excellence – generating 5.2x higher customer lifetime value than national averages. As we move into Q4, the Banker team's deep understanding of Ghana Accra's unique economic rhythms will remain our most valuable asset.</w:t>
      </w:r>
    </w:p>
    <w:p>
      <w:pPr>
        <w:pStyle w:val="BodyText"/>
      </w:pPr>
      <w:r>
        <w:t xml:space="preserve">With Accra serving as the nerve center for Ghana's financial ecosystem, this report demonstrates how a committed Banker can transform market challenges into growth opportunities. The results presented here confirm that when banking professionals embody cultural fluency alongside commercial acumen in Ghana's capital city, they don't just meet sales targets – they redefine industry benchmarks. We are confident that our Accra-based Banker strategy will continue to drive sustainable profitability while supporting Ghana's economic development.</w:t>
      </w:r>
    </w:p>
    <w:bookmarkEnd w:id="27"/>
    <w:bookmarkStart w:id="28" w:name="X14e5a048a45a1760e092c2890c4bb5d17788d2a"/>
    <w:p>
      <w:pPr>
        <w:pStyle w:val="Heading3"/>
      </w:pPr>
      <w:r>
        <w:t xml:space="preserve">VIII. Appendix: Key Metrics by Accra Branch</w:t>
      </w:r>
    </w:p>
    <w:p>
      <w:pPr>
        <w:pStyle w:val="FirstParagraph"/>
      </w:pPr>
      <w:r>
        <w:t xml:space="preserve">Branch Location</w:t>
      </w:r>
    </w:p>
    <w:p>
      <w:pPr>
        <w:pStyle w:val="BodyText"/>
      </w:pPr>
      <w:r>
        <w:t xml:space="preserve">Target Achievement</w:t>
      </w:r>
    </w:p>
    <w:p>
      <w:pPr>
        <w:pStyle w:val="BodyText"/>
      </w:pPr>
      <w:r>
        <w:t xml:space="preserve">Top Product Sold</w:t>
      </w:r>
    </w:p>
    <w:p>
      <w:pPr>
        <w:pStyle w:val="BodyText"/>
      </w:pPr>
      <w:r>
        <w:t xml:space="preserve">Metro Area Impact Factor (%)</w:t>
      </w:r>
    </w:p>
    <w:p>
      <w:pPr>
        <w:pStyle w:val="BodyText"/>
      </w:pPr>
      <w:r>
        <w:t xml:space="preserve">Accra Central (Cantonments)</w:t>
      </w:r>
    </w:p>
    <w:p>
      <w:pPr>
        <w:pStyle w:val="BodyText"/>
      </w:pPr>
      <w:r>
        <w:t xml:space="preserve">132%</w:t>
      </w:r>
    </w:p>
    <w:p>
      <w:pPr>
        <w:pStyle w:val="BodyText"/>
      </w:pPr>
      <w:r>
        <w:t xml:space="preserve">Corporate Loans</w:t>
      </w:r>
    </w:p>
    <w:p>
      <w:pPr>
        <w:pStyle w:val="BodyText"/>
      </w:pPr>
      <w:r>
        <w:t xml:space="preserve">27.4% (GDP contribution)</w:t>
      </w:r>
    </w:p>
    <w:p>
      <w:pPr>
        <w:pStyle w:val="BodyText"/>
      </w:pPr>
      <w:r>
        <w:t xml:space="preserve">Tema Industrial Zone</w:t>
      </w:r>
    </w:p>
    <w:p>
      <w:pPr>
        <w:pStyle w:val="BodyText"/>
      </w:pPr>
      <w:r>
        <w:t xml:space="preserve">141%</w:t>
      </w:r>
    </w:p>
    <w:p>
      <w:pPr>
        <w:pStyle w:val="BodyText"/>
      </w:pPr>
      <w:r>
        <w:t xml:space="preserve">Equipment Financing</w:t>
      </w:r>
    </w:p>
    <w:p>
      <w:pPr>
        <w:pStyle w:val="BodyText"/>
      </w:pPr>
      <w:r>
        <w:t xml:space="preserve">39.8% (Manufacturing sector focus)</w:t>
      </w:r>
    </w:p>
    <w:p>
      <w:pPr>
        <w:pStyle w:val="BodyText"/>
      </w:pPr>
      <w:r>
        <w:t xml:space="preserve">Suame Magazine (Industrial Hub)</w:t>
      </w:r>
    </w:p>
    <w:p>
      <w:pPr>
        <w:pStyle w:val="BodyText"/>
      </w:pPr>
      <w:r>
        <w:t xml:space="preserve">124%</w:t>
      </w:r>
    </w:p>
    <w:p>
      <w:pPr>
        <w:pStyle w:val="BodyText"/>
      </w:pPr>
      <w:r>
        <w:t xml:space="preserve">MSME Working Capital</w:t>
      </w:r>
    </w:p>
    <w:p>
      <w:pPr>
        <w:pStyle w:val="BodyText"/>
      </w:pPr>
      <w:r>
        <w:br/>
      </w:r>
    </w:p>
    <w:p>
      <w:pPr>
        <w:pStyle w:val="BodyText"/>
      </w:pPr>
      <w:r>
        <w:rPr>
          <w:bCs/>
          <w:b/>
        </w:rPr>
        <w:t xml:space="preserve">Prepared By:</w:t>
      </w:r>
      <w:r>
        <w:t xml:space="preserve"> </w:t>
      </w:r>
      <w:r>
        <w:t xml:space="preserve">Accra Sales Leadership Team | Ghana Banking Division</w:t>
      </w:r>
    </w:p>
    <w:p>
      <w:pPr>
        <w:pStyle w:val="BodyText"/>
      </w:pPr>
      <w:r>
        <w:rPr>
          <w:iCs/>
          <w:i/>
        </w:rPr>
        <w:t xml:space="preserve">"In Ghana Accra, success isn't just measured in numbers – it's measured in the thriving businesses we enable." - Banker Team, Accra Office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Ghana Accra Sales Report for Banker | Q3 2023</dc:title>
  <dc:creator/>
  <dc:language>en</dc:language>
  <cp:keywords/>
  <dcterms:created xsi:type="dcterms:W3CDTF">2026-09-27T21:29:36Z</dcterms:created>
  <dcterms:modified xsi:type="dcterms:W3CDTF">2026-09-27T21:29:36Z</dcterms:modified>
</cp:coreProperties>
</file>

<file path=docProps/custom.xml><?xml version="1.0" encoding="utf-8"?>
<Properties xmlns="http://schemas.openxmlformats.org/officeDocument/2006/custom-properties" xmlns:vt="http://schemas.openxmlformats.org/officeDocument/2006/docPropsVTypes"/>
</file>