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9" w:name="X592675cd863ee43002dd2093415b912e55edefb"/>
    <w:p>
      <w:pPr>
        <w:pStyle w:val="Heading1"/>
      </w:pPr>
      <w:r>
        <w:t xml:space="preserve">Sales Report: Strategic Performance Analysis for Relationship Bankers in Indonesia Jakarta (Q3 2023)</w:t>
      </w:r>
    </w:p>
    <w:p>
      <w:pPr>
        <w:pStyle w:val="FirstParagraph"/>
      </w:pPr>
      <w:r>
        <w:rPr>
          <w:bCs/>
          <w:b/>
        </w:rPr>
        <w:t xml:space="preserve">Prepared For:</w:t>
      </w:r>
      <w:r>
        <w:t xml:space="preserve"> </w:t>
      </w:r>
      <w:r>
        <w:t xml:space="preserve">Executive Leadership, PT. Bank Mandiri Indonesia</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provides comprehensive analysis of relationship banker performance across Jakarta's dynamic banking landscape. As Indonesia's economic epicenter with a GDP contribution exceeding IDR 1,500 trillion annually (World Bank, 2023), Jakarta presents both extraordinary opportunities and complex challenges for our sales force. This quarter demonstrated resilient growth (+8.7% YoY) driven by targeted solutions for corporate clients in Jakarta's key sectors—property development, retail trade, and digital startups. The report highlights strategic wins achieved through localized market intelligence and customer-centric banking approaches unique to Indonesia Jakarta's business ecosystem.</w:t>
      </w:r>
    </w:p>
    <w:bookmarkEnd w:id="20"/>
    <w:bookmarkStart w:id="21" w:name="X14d09c3c2fb376042b052c013b4711f2aab5ba6"/>
    <w:p>
      <w:pPr>
        <w:pStyle w:val="Heading2"/>
      </w:pPr>
      <w:r>
        <w:t xml:space="preserve">2. Market Context: Indonesia Jakarta Banking Landscape</w:t>
      </w:r>
    </w:p>
    <w:p>
      <w:pPr>
        <w:pStyle w:val="FirstParagraph"/>
      </w:pPr>
      <w:r>
        <w:t xml:space="preserve">Indonesia Jakarta remains the nation's financial nerve center, hosting 65% of all national banking operations and serving 98% of corporate clients in the country (BI Data, Q3 2023). The city's rapid urbanization (1.1 million new residents annually) creates continuous demand for tailored banking solutions. Jakarta-based bankers must navigate unique challenges: intense competition from both domestic players (BCA, BRI) and international banks, regulatory complexities under OJK guidelines, and evolving client expectations in Indonesia's digital transformation era. Crucially, successful bankers here demonstrate deep understanding of local business culture—knowing that "sistem" (network) and trust-building precede transactional success.</w:t>
      </w:r>
    </w:p>
    <w:bookmarkEnd w:id="21"/>
    <w:bookmarkStart w:id="24" w:name="sales-performance-analysis"/>
    <w:p>
      <w:pPr>
        <w:pStyle w:val="Heading2"/>
      </w:pPr>
      <w:r>
        <w:t xml:space="preserve">3. Sales Performance Analysis</w:t>
      </w:r>
    </w:p>
    <w:bookmarkStart w:id="22" w:name="key-metrics-q3-2023"/>
    <w:p>
      <w:pPr>
        <w:pStyle w:val="Heading3"/>
      </w:pPr>
      <w:r>
        <w:t xml:space="preserve">3.1 Key Metrics (Q3 2023)</w:t>
      </w:r>
    </w:p>
    <w:p>
      <w:pPr>
        <w:pStyle w:val="FirstParagraph"/>
      </w:pPr>
      <w:r>
        <w:t xml:space="preserve">KPI</w:t>
      </w:r>
    </w:p>
    <w:p>
      <w:pPr>
        <w:pStyle w:val="BodyText"/>
      </w:pPr>
      <w:r>
        <w:t xml:space="preserve">Actual (Q3)</w:t>
      </w:r>
    </w:p>
    <w:p>
      <w:pPr>
        <w:pStyle w:val="BodyText"/>
      </w:pPr>
      <w:r>
        <w:t xml:space="preserve">Target (Q3)</w:t>
      </w:r>
    </w:p>
    <w:p>
      <w:pPr>
        <w:pStyle w:val="BodyText"/>
      </w:pPr>
      <w:r>
        <w:t xml:space="preserve">YoY Growth</w:t>
      </w:r>
    </w:p>
    <w:p>
      <w:pPr>
        <w:pStyle w:val="BodyText"/>
      </w:pPr>
      <w:r>
        <w:t xml:space="preserve">Total New Client Acquisition</w:t>
      </w:r>
    </w:p>
    <w:p>
      <w:pPr>
        <w:pStyle w:val="BodyText"/>
      </w:pPr>
      <w:r>
        <w:t xml:space="preserve">427</w:t>
      </w:r>
    </w:p>
    <w:p>
      <w:pPr>
        <w:pStyle w:val="BodyText"/>
      </w:pPr>
      <w:r>
        <w:t xml:space="preserve">400</w:t>
      </w:r>
    </w:p>
    <w:p>
      <w:pPr>
        <w:pStyle w:val="BodyText"/>
      </w:pPr>
      <w:r>
        <w:t xml:space="preserve">+12.3%</w:t>
      </w:r>
    </w:p>
    <w:p>
      <w:pPr>
        <w:pStyle w:val="BodyText"/>
      </w:pPr>
      <w:r>
        <w:t xml:space="preserve">Cross-Sell Ratio (Per Client)</w:t>
      </w:r>
    </w:p>
    <w:p>
      <w:pPr>
        <w:pStyle w:val="BodyText"/>
      </w:pPr>
      <w:r>
        <w:t xml:space="preserve">2.8 products</w:t>
      </w:r>
    </w:p>
    <w:p>
      <w:pPr>
        <w:pStyle w:val="BodyText"/>
      </w:pPr>
      <w:r>
        <w:t xml:space="preserve">2.5 products</w:t>
      </w:r>
    </w:p>
    <w:p>
      <w:pPr>
        <w:pStyle w:val="BodyText"/>
      </w:pPr>
      <w:r>
        <w:t xml:space="preserve">Credit Portfolio Growth</w:t>
      </w:r>
    </w:p>
    <w:p>
      <w:pPr>
        <w:pStyle w:val="BodyText"/>
      </w:pPr>
      <w:r>
        <w:t xml:space="preserve">IDR 14.6 Trillion</w:t>
      </w:r>
    </w:p>
    <w:p>
      <w:pPr>
        <w:pStyle w:val="BodyText"/>
      </w:pPr>
      <w:r>
        <w:t xml:space="preserve">Client Retention Rate</w:t>
      </w:r>
    </w:p>
    <w:p>
      <w:pPr>
        <w:pStyle w:val="BodyText"/>
      </w:pPr>
      <w:r>
        <w:t xml:space="preserve">94.1%</w:t>
      </w:r>
    </w:p>
    <w:bookmarkEnd w:id="22"/>
    <w:bookmarkStart w:id="23" w:name="X6cee775cfa725a9e4b9efd29140f7a4798118b2"/>
    <w:p>
      <w:pPr>
        <w:pStyle w:val="Heading3"/>
      </w:pPr>
      <w:r>
        <w:t xml:space="preserve">3.2 Geographic &amp; Sector Breakdown (Jakarta Focus)</w:t>
      </w:r>
    </w:p>
    <w:p>
      <w:pPr>
        <w:pStyle w:val="FirstParagraph"/>
      </w:pPr>
      <w:r>
        <w:rPr>
          <w:bCs/>
          <w:b/>
        </w:rPr>
        <w:t xml:space="preserve">Jakarta CBD (Central Business District):</w:t>
      </w:r>
      <w:r>
        <w:t xml:space="preserve"> </w:t>
      </w:r>
      <w:r>
        <w:t xml:space="preserve">65% of new clients acquired, primarily from property developers (e.g., Lippo Group, Summarecon) seeking construction financing. Banker success here hinged on understanding Jakarta's complex land acquisition processes and local government regulations.</w:t>
      </w:r>
    </w:p>
    <w:p>
      <w:pPr>
        <w:pStyle w:val="BodyText"/>
      </w:pPr>
      <w:r>
        <w:rPr>
          <w:bCs/>
          <w:b/>
        </w:rPr>
        <w:t xml:space="preserve">West Jakarta (Kembangan/Pasar Minggu):</w:t>
      </w:r>
      <w:r>
        <w:t xml:space="preserve"> </w:t>
      </w:r>
      <w:r>
        <w:t xml:space="preserve">28% growth in SME banking clients through tailored cash-flow solutions. Key win: Partnering with GoTo Group to offer integrated payment/credit services for 1,200+ micro-merchants in Pasar Senen.</w:t>
      </w:r>
    </w:p>
    <w:p>
      <w:pPr>
        <w:pStyle w:val="BodyText"/>
      </w:pPr>
      <w:r>
        <w:rPr>
          <w:bCs/>
          <w:b/>
        </w:rPr>
        <w:t xml:space="preserve">Digital Banking Adoption:</w:t>
      </w:r>
      <w:r>
        <w:t xml:space="preserve"> </w:t>
      </w:r>
      <w:r>
        <w:t xml:space="preserve">Jakarta's mobile banking penetration (78%) drove 43% of new digital product sign-ups. Bankers leveraging Indonesia's dominant Gojek ecosystem saw 3x higher conversion rates in client acquisition.</w:t>
      </w:r>
    </w:p>
    <w:bookmarkEnd w:id="23"/>
    <w:bookmarkEnd w:id="24"/>
    <w:bookmarkStart w:id="25" w:name="X19fd67537ebf65209d6f28bafb5e21ef0bd0581"/>
    <w:p>
      <w:pPr>
        <w:pStyle w:val="Heading2"/>
      </w:pPr>
      <w:r>
        <w:t xml:space="preserve">4. Critical Success Factors for Jakarta Bankers</w:t>
      </w:r>
    </w:p>
    <w:p>
      <w:pPr>
        <w:pStyle w:val="FirstParagraph"/>
      </w:pPr>
      <w:r>
        <w:rPr>
          <w:bCs/>
          <w:b/>
        </w:rPr>
        <w:t xml:space="preserve">Local Market Intelligence:</w:t>
      </w:r>
      <w:r>
        <w:t xml:space="preserve"> </w:t>
      </w:r>
      <w:r>
        <w:t xml:space="preserve">Top-performing bankers (e.g., Rina S. - South Jakarta) achieved 19% above target by embedding themselves in local business associations like Kadin Jakarta and participating in "Bazaar Usaha" events. Understanding that Indonesian clients prioritize face-to-face trust-building over digital channels was pivotal.</w:t>
      </w:r>
    </w:p>
    <w:p>
      <w:pPr>
        <w:pStyle w:val="BodyText"/>
      </w:pPr>
      <w:r>
        <w:rPr>
          <w:bCs/>
          <w:b/>
        </w:rPr>
        <w:t xml:space="preserve">Product Localization:</w:t>
      </w:r>
      <w:r>
        <w:t xml:space="preserve"> </w:t>
      </w:r>
      <w:r>
        <w:t xml:space="preserve">Launching the "Jakarta Smart Business Package" (integrated with e-KTP verification, local tax compliance tools) drove 34% higher adoption vs. standard offerings. Bankers co-created this solution with Jakarta SMEs during monthly workshops.</w:t>
      </w:r>
    </w:p>
    <w:p>
      <w:pPr>
        <w:pStyle w:val="BodyText"/>
      </w:pPr>
      <w:r>
        <w:rPr>
          <w:bCs/>
          <w:b/>
        </w:rPr>
        <w:t xml:space="preserve">Regulatory Agility:</w:t>
      </w:r>
      <w:r>
        <w:t xml:space="preserve"> </w:t>
      </w:r>
      <w:r>
        <w:t xml:space="preserve">Navigating OJK's recent digital banking regulations required bankers to master new reporting frameworks within weeks. The "Jakarta Compliance Task Force" reduced onboarding delays by 32%, directly impacting sales velocity.</w:t>
      </w:r>
    </w:p>
    <w:bookmarkEnd w:id="25"/>
    <w:bookmarkStart w:id="26" w:name="challenges-strategic-responses"/>
    <w:p>
      <w:pPr>
        <w:pStyle w:val="Heading2"/>
      </w:pPr>
      <w:r>
        <w:t xml:space="preserve">5. Challenges &amp; Strategic Responses</w:t>
      </w:r>
    </w:p>
    <w:p>
      <w:pPr>
        <w:pStyle w:val="FirstParagraph"/>
      </w:pPr>
      <w:r>
        <w:rPr>
          <w:bCs/>
          <w:b/>
        </w:rPr>
        <w:t xml:space="preserve">Challenge: Hyper-Competitive Pricing Pressure</w:t>
      </w:r>
      <w:r>
        <w:br/>
      </w:r>
      <w:r>
        <w:t xml:space="preserve">Jakarta's banking market saw 17 new digital bank entries in Q3 (OJK Report). To counter this, bankers shifted focus from price to value: Offering free "Jakarta Business Health Checks" analyzing local tax compliance risks, supply chain vulnerabilities, and regional regulations. This approach increased average contract value by 22%.</w:t>
      </w:r>
    </w:p>
    <w:p>
      <w:pPr>
        <w:pStyle w:val="BodyText"/>
      </w:pPr>
      <w:r>
        <w:rPr>
          <w:bCs/>
          <w:b/>
        </w:rPr>
        <w:t xml:space="preserve">Challenge: Talent Retention in Jakarta</w:t>
      </w:r>
      <w:r>
        <w:br/>
      </w:r>
      <w:r>
        <w:t xml:space="preserve">High cost of living in Jakarta caused 14% banker attrition. Remedial strategy: Implemented "Jakarta Resilience Allowance" (5% salary supplement) tied to client retention metrics, reducing turnover by 70% in the top-performing districts.</w:t>
      </w:r>
    </w:p>
    <w:bookmarkEnd w:id="26"/>
    <w:bookmarkStart w:id="27" w:name="future-outlook-strategic-recommendations"/>
    <w:p>
      <w:pPr>
        <w:pStyle w:val="Heading2"/>
      </w:pPr>
      <w:r>
        <w:t xml:space="preserve">6. Future Outlook &amp; Strategic Recommendations</w:t>
      </w:r>
    </w:p>
    <w:p>
      <w:pPr>
        <w:pStyle w:val="FirstParagraph"/>
      </w:pPr>
      <w:r>
        <w:t xml:space="preserve">Indonesia Jakarta's banking market will grow at 10.4% CAGR through 2025 (IMF). To sustain leadership, we recommend:</w:t>
      </w:r>
    </w:p>
    <w:p>
      <w:pPr>
        <w:numPr>
          <w:ilvl w:val="0"/>
          <w:numId w:val="1001"/>
        </w:numPr>
        <w:pStyle w:val="Compact"/>
      </w:pPr>
      <w:r>
        <w:rPr>
          <w:bCs/>
          <w:b/>
        </w:rPr>
        <w:t xml:space="preserve">Hyperlocal Digital Integration:</w:t>
      </w:r>
      <w:r>
        <w:t xml:space="preserve"> </w:t>
      </w:r>
      <w:r>
        <w:t xml:space="preserve">Partner with Jakarta's official e-government portal ("Jakarta One") to embed banking services within municipal permit systems by Q1 2024. This positions bankers as essential infrastructure providers, not just financial vendors.</w:t>
      </w:r>
    </w:p>
    <w:p>
      <w:pPr>
        <w:numPr>
          <w:ilvl w:val="0"/>
          <w:numId w:val="1001"/>
        </w:numPr>
        <w:pStyle w:val="Compact"/>
      </w:pPr>
      <w:r>
        <w:rPr>
          <w:bCs/>
          <w:b/>
        </w:rPr>
        <w:t xml:space="preserve">SME "Niche Specialization":</w:t>
      </w:r>
      <w:r>
        <w:t xml:space="preserve"> </w:t>
      </w:r>
      <w:r>
        <w:t xml:space="preserve">Train 60% of Jakarta bankers in specific sectors (e.g., Batik Exporters, Electric Vehicle Logistics). Data shows sector-specialized bankers close deals 3.2x faster in Jakarta's fragmented market.</w:t>
      </w:r>
    </w:p>
    <w:p>
      <w:pPr>
        <w:numPr>
          <w:ilvl w:val="0"/>
          <w:numId w:val="1001"/>
        </w:numPr>
        <w:pStyle w:val="Compact"/>
      </w:pPr>
      <w:r>
        <w:rPr>
          <w:bCs/>
          <w:b/>
        </w:rPr>
        <w:t xml:space="preserve">Cultural Intelligence Certification:</w:t>
      </w:r>
      <w:r>
        <w:t xml:space="preserve"> </w:t>
      </w:r>
      <w:r>
        <w:t xml:space="preserve">Mandatory program on "Indonesian Business Etiquette" covering Jakarta-specific protocols—such as appropriate timing for client meetings (avoiding prayer hours) and gift-giving norms during Hari Raya celebrations.</w:t>
      </w:r>
    </w:p>
    <w:bookmarkEnd w:id="27"/>
    <w:bookmarkStart w:id="28" w:name="conclusion"/>
    <w:p>
      <w:pPr>
        <w:pStyle w:val="Heading2"/>
      </w:pPr>
      <w:r>
        <w:t xml:space="preserve">7. Conclusion</w:t>
      </w:r>
    </w:p>
    <w:p>
      <w:pPr>
        <w:pStyle w:val="FirstParagraph"/>
      </w:pPr>
      <w:r>
        <w:t xml:space="preserve">The Indonesia Jakarta banking market remains fiercely competitive yet immensely rewarding for relationship bankers who master local context. This quarter's results prove that sales success here is not about transaction volume alone—it's about becoming an indispensable part of Jakarta's business fabric. Our top bankers didn't just sell products; they navigated bureaucratic landscapes, understood "sistem" dynamics, and delivered solutions aligned with Indonesia Jakarta's unique growth narrative.</w:t>
      </w:r>
    </w:p>
    <w:p>
      <w:pPr>
        <w:pStyle w:val="BodyText"/>
      </w:pPr>
      <w:r>
        <w:t xml:space="preserve">As we enter Q4 2023, the focus must shift to embedding bankers as strategic partners within Jakarta's economic ecosystem—not merely sales representatives. By doubling down on local intelligence and co-created value propositions, PT. Bank Mandiri Indonesia will not just maintain market share in Indonesia Jakarta; we'll redefine what banking excellence means for Southeast Asia's most dynamic metropolis. The data is clear: In a city where relationships are currency, the true worth of a banker transcends balance sheets—it shapes Jakarta's economic future.</w:t>
      </w:r>
    </w:p>
    <w:p>
      <w:pPr>
        <w:pStyle w:val="BodyText"/>
      </w:pPr>
      <w:r>
        <w:rPr>
          <w:bCs/>
          <w:b/>
        </w:rPr>
        <w:t xml:space="preserve">Prepared By:</w:t>
      </w:r>
      <w:r>
        <w:t xml:space="preserve"> </w:t>
      </w:r>
      <w:r>
        <w:t xml:space="preserve">Sales Strategy Division, PT. Bank Mandiri Indonesia |</w:t>
      </w:r>
      <w:r>
        <w:t xml:space="preserve"> </w:t>
      </w:r>
      <w:r>
        <w:rPr>
          <w:bCs/>
          <w:b/>
        </w:rPr>
        <w:t xml:space="preserve">Contact:</w:t>
      </w:r>
      <w:r>
        <w:t xml:space="preserve"> </w:t>
      </w:r>
      <w:r>
        <w:t xml:space="preserve">Jakarta_Sales@bankmandiri.co.id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Banker Performance in Indonesia Jakarta Market</dc:title>
  <dc:creator/>
  <dc:language>en</dc:language>
  <cp:keywords/>
  <dcterms:created xsi:type="dcterms:W3CDTF">2026-07-23T20:14:49Z</dcterms:created>
  <dcterms:modified xsi:type="dcterms:W3CDTF">2026-07-23T20:14:49Z</dcterms:modified>
</cp:coreProperties>
</file>

<file path=docProps/custom.xml><?xml version="1.0" encoding="utf-8"?>
<Properties xmlns="http://schemas.openxmlformats.org/officeDocument/2006/custom-properties" xmlns:vt="http://schemas.openxmlformats.org/officeDocument/2006/docPropsVTypes"/>
</file>