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Performance</w:t>
      </w:r>
      <w:r>
        <w:t xml:space="preserve"> </w:t>
      </w:r>
      <w:r>
        <w:t xml:space="preserve">Report:</w:t>
      </w:r>
      <w:r>
        <w:t xml:space="preserve"> </w:t>
      </w:r>
      <w:r>
        <w:t xml:space="preserve">Banking</w:t>
      </w:r>
      <w:r>
        <w:t xml:space="preserve"> </w:t>
      </w:r>
      <w:r>
        <w:t xml:space="preserve">Operations</w:t>
      </w:r>
      <w:r>
        <w:t xml:space="preserve"> </w:t>
      </w:r>
      <w:r>
        <w:t xml:space="preserve">in</w:t>
      </w:r>
      <w:r>
        <w:t xml:space="preserve"> </w:t>
      </w:r>
      <w:r>
        <w:t xml:space="preserve">Tehran,</w:t>
      </w:r>
      <w:r>
        <w:t xml:space="preserve"> </w:t>
      </w:r>
      <w:r>
        <w:t xml:space="preserve">Iran</w:t>
      </w:r>
    </w:p>
    <w:bookmarkStart w:id="28" w:name="X104ebee0353c66f9fd39e97a9a3c1efa58803ed"/>
    <w:p>
      <w:pPr>
        <w:pStyle w:val="Heading1"/>
      </w:pPr>
      <w:r>
        <w:t xml:space="preserve">Sales Performance Report: Strategic Banking Operations in Tehran, Iran</w:t>
      </w:r>
    </w:p>
    <w:bookmarkStart w:id="27" w:name="Xc34a8d2c9f627685aecf8a584c044fc17824698"/>
    <w:p>
      <w:pPr>
        <w:pStyle w:val="Heading2"/>
      </w:pPr>
      <w:r>
        <w:t xml:space="preserve">Prepared For: Executive Leadership | Date: October 26, 2023 | Region: Tehran, Islamic Republic of Iran</w:t>
      </w:r>
    </w:p>
    <w:p>
      <w:pPr>
        <w:pStyle w:val="FirstParagraph"/>
      </w:pPr>
      <w:r>
        <w:t xml:space="preserve">This comprehensive sales performance report details the strategic banking activities conducted by our financial institution across Tehran's dynamic economic landscape. As a premier banking entity operating within Iran's regulated financial ecosystem, we focus on delivering value-driven solutions that align with both local market needs and national economic priorities. This document serves as an official record of our sales initiatives, client engagement strategies, and performance metrics specific to the Tehran banking sector.</w:t>
      </w:r>
    </w:p>
    <w:bookmarkStart w:id="20" w:name="X9f19717acb2f4bae1c8c6b80f305294bde01fed"/>
    <w:p>
      <w:pPr>
        <w:pStyle w:val="Heading3"/>
      </w:pPr>
      <w:r>
        <w:t xml:space="preserve">Executive Summary: Banking Success in Tehran's Economic Hub</w:t>
      </w:r>
    </w:p>
    <w:p>
      <w:pPr>
        <w:pStyle w:val="FirstParagraph"/>
      </w:pPr>
      <w:r>
        <w:t xml:space="preserve">The first half of 2023 demonstrated remarkable resilience and growth within Tehran's banking sector. As a leading financial institution operating under Iran's Central Bank regulations, our Sales Department achieved a 15.7% year-over-year increase in revenue from corporate banking services across Tehran. This growth was driven by strategic partnerships with key industrial clusters in the capital city, including manufacturing hubs near Shahid Rajaee Highway and trade networks centered around Tehran Bazaar. The success underscores how modern banking solutions—delivered by our specialized</w:t>
      </w:r>
      <w:r>
        <w:t xml:space="preserve"> </w:t>
      </w:r>
      <w:r>
        <w:rPr>
          <w:iCs/>
          <w:i/>
        </w:rPr>
        <w:t xml:space="preserve">Banker</w:t>
      </w:r>
      <w:r>
        <w:t xml:space="preserve"> </w:t>
      </w:r>
      <w:r>
        <w:t xml:space="preserve">teams—continue to support Iran's economic development despite global market volatility.</w:t>
      </w:r>
    </w:p>
    <w:bookmarkEnd w:id="20"/>
    <w:bookmarkStart w:id="21" w:name="Xd34ca0bdaaeb46e0fa10c36fe57d9e79b5c9d98"/>
    <w:p>
      <w:pPr>
        <w:pStyle w:val="Heading3"/>
      </w:pPr>
      <w:r>
        <w:t xml:space="preserve">Key Sales Performance Metrics (Tehran Operations)</w:t>
      </w:r>
    </w:p>
    <w:p>
      <w:pPr>
        <w:pStyle w:val="FirstParagraph"/>
      </w:pPr>
      <w:r>
        <w:t xml:space="preserve">KPI</w:t>
      </w:r>
    </w:p>
    <w:p>
      <w:pPr>
        <w:pStyle w:val="BodyText"/>
      </w:pPr>
      <w:r>
        <w:t xml:space="preserve">2022 Actual</w:t>
      </w:r>
    </w:p>
    <w:p>
      <w:pPr>
        <w:pStyle w:val="BodyText"/>
      </w:pPr>
      <w:r>
        <w:t xml:space="preserve">2023 Target</w:t>
      </w:r>
    </w:p>
    <w:p>
      <w:pPr>
        <w:pStyle w:val="BodyText"/>
      </w:pPr>
      <w:r>
        <w:t xml:space="preserve">Q3 2023 Actual</w:t>
      </w:r>
    </w:p>
    <w:p>
      <w:pPr>
        <w:pStyle w:val="BodyText"/>
      </w:pPr>
      <w:r>
        <w:t xml:space="preserve">Variance (vs. Target)</w:t>
      </w:r>
    </w:p>
    <w:p>
      <w:pPr>
        <w:pStyle w:val="BodyText"/>
      </w:pPr>
      <w:r>
        <w:t xml:space="preserve">New Corporate Client Acquisition (Tehran)</w:t>
      </w:r>
    </w:p>
    <w:p>
      <w:pPr>
        <w:pStyle w:val="BodyText"/>
      </w:pPr>
      <w:r>
        <w:t xml:space="preserve">87</w:t>
      </w:r>
    </w:p>
    <w:p>
      <w:pPr>
        <w:pStyle w:val="BodyText"/>
      </w:pPr>
      <w:r>
        <w:t xml:space="preserve">105</w:t>
      </w:r>
    </w:p>
    <w:p>
      <w:pPr>
        <w:pStyle w:val="BodyText"/>
      </w:pPr>
      <w:r>
        <w:t xml:space="preserve">62</w:t>
      </w:r>
    </w:p>
    <w:p>
      <w:pPr>
        <w:pStyle w:val="BodyText"/>
      </w:pPr>
      <w:r>
        <w:t xml:space="preserve">+17%</w:t>
      </w:r>
    </w:p>
    <w:p>
      <w:pPr>
        <w:pStyle w:val="BodyText"/>
      </w:pPr>
      <w:r>
        <w:t xml:space="preserve">Credit Facility Disbursement (Tehran)</w:t>
      </w:r>
    </w:p>
    <w:p>
      <w:pPr>
        <w:pStyle w:val="BodyText"/>
      </w:pPr>
      <w:r>
        <w:t xml:space="preserve">&lt;</w:t>
      </w:r>
    </w:p>
    <w:p>
      <w:pPr>
        <w:pStyle w:val="BodyText"/>
      </w:pPr>
      <w:r>
        <w:t xml:space="preserve">$42.3M$50.8M$38.9M+17%</w:t>
      </w:r>
    </w:p>
    <w:p>
      <w:pPr>
        <w:pStyle w:val="BodyText"/>
      </w:pPr>
      <w:r>
        <w:t xml:space="preserve">Digital Banking Adoption Rate (Tehran Branches)</w:t>
      </w:r>
    </w:p>
    <w:p>
      <w:pPr>
        <w:pStyle w:val="BodyText"/>
      </w:pPr>
      <w:r>
        <w:t xml:space="preserve">64%</w:t>
      </w:r>
    </w:p>
    <w:p>
      <w:pPr>
        <w:pStyle w:val="BodyText"/>
      </w:pPr>
      <w:r>
        <w:t xml:space="preserve">72%</w:t>
      </w:r>
    </w:p>
    <w:p>
      <w:pPr>
        <w:pStyle w:val="BodyText"/>
      </w:pPr>
      <w:r>
        <w:t xml:space="preserve">69%</w:t>
      </w:r>
    </w:p>
    <w:p>
      <w:pPr>
        <w:pStyle w:val="BodyText"/>
      </w:pPr>
      <w:r>
        <w:t xml:space="preserve">+4.5%</w:t>
      </w:r>
    </w:p>
    <w:p>
      <w:pPr>
        <w:pStyle w:val="BodyText"/>
      </w:pPr>
      <w:r>
        <w:t xml:space="preserve">Cross-Sell Ratio (Existing Client Portfolio)1.82.32.1+7.3%</w:t>
      </w:r>
    </w:p>
    <w:bookmarkEnd w:id="21"/>
    <w:bookmarkStart w:id="22" w:name="X7a1fc30b9662cc1d4a33bce142ea19d5d026669"/>
    <w:p>
      <w:pPr>
        <w:pStyle w:val="Heading3"/>
      </w:pPr>
      <w:r>
        <w:t xml:space="preserve">Sales Strategy: Banking Innovation in Tehran's Market Context</w:t>
      </w:r>
    </w:p>
    <w:p>
      <w:pPr>
        <w:pStyle w:val="FirstParagraph"/>
      </w:pPr>
      <w:r>
        <w:t xml:space="preserve">Our sales approach in Tehran integrates deep understanding of Iran's unique financial regulations and cultural business practices. Unlike international banking models, our Tehran-based Banker teams operate within the framework of Iran's Islamic Banking Regulations, emphasizing interest-free transactions (Qard Hasan) while delivering competitive commercial solutions. Key strategies include:</w:t>
      </w:r>
    </w:p>
    <w:p>
      <w:pPr>
        <w:numPr>
          <w:ilvl w:val="0"/>
          <w:numId w:val="1001"/>
        </w:numPr>
        <w:pStyle w:val="Compact"/>
      </w:pPr>
      <w:r>
        <w:rPr>
          <w:bCs/>
          <w:b/>
        </w:rPr>
        <w:t xml:space="preserve">Localized Value Propositions:</w:t>
      </w:r>
      <w:r>
        <w:t xml:space="preserve"> </w:t>
      </w:r>
      <w:r>
        <w:t xml:space="preserve">Tailored financing packages for Tehran's major economic sectors—textile manufacturing (Mehrabad Industrial Zone), automotive supply chains (Shahr-e Rey), and export-oriented agribusinesses near Karaj.</w:t>
      </w:r>
    </w:p>
    <w:p>
      <w:pPr>
        <w:numPr>
          <w:ilvl w:val="0"/>
          <w:numId w:val="1001"/>
        </w:numPr>
        <w:pStyle w:val="Compact"/>
      </w:pPr>
      <w:r>
        <w:rPr>
          <w:bCs/>
          <w:b/>
        </w:rPr>
        <w:t xml:space="preserve">Government Partnership Framework:</w:t>
      </w:r>
      <w:r>
        <w:t xml:space="preserve"> </w:t>
      </w:r>
      <w:r>
        <w:t xml:space="preserve">Successful collaboration with Tehran Municipality on the "Tehran Economic Renewal Initiative," securing $12M in municipal infrastructure financing through our</w:t>
      </w:r>
      <w:r>
        <w:t xml:space="preserve"> </w:t>
      </w:r>
      <w:r>
        <w:rPr>
          <w:iCs/>
          <w:i/>
        </w:rPr>
        <w:t xml:space="preserve">Banker</w:t>
      </w:r>
      <w:r>
        <w:t xml:space="preserve"> </w:t>
      </w:r>
      <w:r>
        <w:t xml:space="preserve">team's strategic account management.</w:t>
      </w:r>
    </w:p>
    <w:p>
      <w:pPr>
        <w:numPr>
          <w:ilvl w:val="0"/>
          <w:numId w:val="1001"/>
        </w:numPr>
        <w:pStyle w:val="Compact"/>
      </w:pPr>
      <w:r>
        <w:rPr>
          <w:bCs/>
          <w:b/>
        </w:rPr>
        <w:t xml:space="preserve">Digital Transformation Focus:</w:t>
      </w:r>
      <w:r>
        <w:t xml:space="preserve"> </w:t>
      </w:r>
      <w:r>
        <w:t xml:space="preserve">Implementation of Iran's national payment system (SHAPARAK) integration across all Tehran branches, increasing client onboarding speed by 40% and boosting sales conversion rates in digital channels.</w:t>
      </w:r>
    </w:p>
    <w:bookmarkEnd w:id="22"/>
    <w:bookmarkStart w:id="23" w:name="Xf610e844e698bd1642eefb9ab7a76908cd30d38"/>
    <w:p>
      <w:pPr>
        <w:pStyle w:val="Heading3"/>
      </w:pPr>
      <w:r>
        <w:t xml:space="preserve">Client Success Story: Manufacturing Sector Expansion in Tehran</w:t>
      </w:r>
    </w:p>
    <w:p>
      <w:pPr>
        <w:pStyle w:val="FirstParagraph"/>
      </w:pPr>
      <w:r>
        <w:t xml:space="preserve">A prime example of our Sales Department's impact occurred with a leading textile manufacturer based in Tehran's Industrial Zone No. 5. Facing cash flow constraints during Iran's peak export season, the company engaged our Tehran-based Banker team to develop a Sharia-compliant working capital solution. Our sales strategy involved:</w:t>
      </w:r>
    </w:p>
    <w:p>
      <w:pPr>
        <w:numPr>
          <w:ilvl w:val="0"/>
          <w:numId w:val="1002"/>
        </w:numPr>
        <w:pStyle w:val="Compact"/>
      </w:pPr>
      <w:r>
        <w:t xml:space="preserve">Conducting on-site feasibility analysis at the client's Tehran facility</w:t>
      </w:r>
    </w:p>
    <w:p>
      <w:pPr>
        <w:numPr>
          <w:ilvl w:val="0"/>
          <w:numId w:val="1002"/>
        </w:numPr>
        <w:pStyle w:val="Compact"/>
      </w:pPr>
      <w:r>
        <w:t xml:space="preserve">Designing an asset-based financing product aligned with Iran's Central Bank guidelines</w:t>
      </w:r>
    </w:p>
    <w:p>
      <w:pPr>
        <w:numPr>
          <w:ilvl w:val="0"/>
          <w:numId w:val="1002"/>
        </w:numPr>
        <w:pStyle w:val="Compact"/>
      </w:pPr>
      <w:r>
        <w:t xml:space="preserve">Negotiating a 12-month credit line of $3.5M with zero commission fees (standard for Iranian banking practice)</w:t>
      </w:r>
    </w:p>
    <w:p>
      <w:pPr>
        <w:pStyle w:val="FirstParagraph"/>
      </w:pPr>
      <w:r>
        <w:t xml:space="preserve">The result: The client increased exports by 27% within six months, while our institution secured a long-term strategic partnership that generated $450K in annual fee revenue. This case exemplifies how Tehran-focused Banker teams drive mutually beneficial growth within Iran's economic framework.</w:t>
      </w:r>
    </w:p>
    <w:bookmarkEnd w:id="23"/>
    <w:bookmarkStart w:id="24" w:name="Xc3b59713d6809587d745efe50a1c4e392e23b71"/>
    <w:p>
      <w:pPr>
        <w:pStyle w:val="Heading3"/>
      </w:pPr>
      <w:r>
        <w:t xml:space="preserve">Market Challenges &amp; Adaptive Sales Response</w:t>
      </w:r>
    </w:p>
    <w:p>
      <w:pPr>
        <w:pStyle w:val="FirstParagraph"/>
      </w:pPr>
      <w:r>
        <w:t xml:space="preserve">Tehran's banking environment presents unique challenges requiring specialized sales approaches:</w:t>
      </w:r>
    </w:p>
    <w:p>
      <w:pPr>
        <w:numPr>
          <w:ilvl w:val="0"/>
          <w:numId w:val="1003"/>
        </w:numPr>
        <w:pStyle w:val="Compact"/>
      </w:pPr>
      <w:r>
        <w:rPr>
          <w:bCs/>
          <w:b/>
        </w:rPr>
        <w:t xml:space="preserve">Sanctions Impact:</w:t>
      </w:r>
      <w:r>
        <w:t xml:space="preserve"> </w:t>
      </w:r>
      <w:r>
        <w:t xml:space="preserve">Our sales team adapted by emphasizing domestic trade finance solutions (e.g., Barter Trade mechanisms) rather than international transactions, maintaining 92% client retention during 2023 sanctions periods.</w:t>
      </w:r>
    </w:p>
    <w:p>
      <w:pPr>
        <w:numPr>
          <w:ilvl w:val="0"/>
          <w:numId w:val="1003"/>
        </w:numPr>
        <w:pStyle w:val="Compact"/>
      </w:pPr>
      <w:r>
        <w:rPr>
          <w:bCs/>
          <w:b/>
        </w:rPr>
        <w:t xml:space="preserve">Cultural Nuances:</w:t>
      </w:r>
      <w:r>
        <w:t xml:space="preserve"> </w:t>
      </w:r>
      <w:r>
        <w:t xml:space="preserve">Unlike Western banking models, Tehran client relationships prioritize face-to-face engagement. Our Banker teams conduct weekly in-person meetings with key accounts at approved locations (e.g., Tehran Stock Exchange premises), increasing deal closure rates by 34%.</w:t>
      </w:r>
    </w:p>
    <w:p>
      <w:pPr>
        <w:numPr>
          <w:ilvl w:val="0"/>
          <w:numId w:val="1003"/>
        </w:numPr>
        <w:pStyle w:val="Compact"/>
      </w:pPr>
      <w:r>
        <w:rPr>
          <w:bCs/>
          <w:b/>
        </w:rPr>
        <w:t xml:space="preserve">Regulatory Compliance:</w:t>
      </w:r>
      <w:r>
        <w:t xml:space="preserve"> </w:t>
      </w:r>
      <w:r>
        <w:t xml:space="preserve">All sales initiatives undergo mandatory review by Iran's Central Bank Compliance Unit, ensuring every proposal meets Article 12 of the Banking Act regarding ethical client engagement.</w:t>
      </w:r>
    </w:p>
    <w:bookmarkEnd w:id="24"/>
    <w:bookmarkStart w:id="25" w:name="X0524e9a6a31f0fde260ad5126bf44b9fdd402f4"/>
    <w:p>
      <w:pPr>
        <w:pStyle w:val="Heading3"/>
      </w:pPr>
      <w:r>
        <w:t xml:space="preserve">Future Sales Roadmap: Tehran Market Priorities</w:t>
      </w:r>
    </w:p>
    <w:p>
      <w:pPr>
        <w:pStyle w:val="FirstParagraph"/>
      </w:pPr>
      <w:r>
        <w:t xml:space="preserve">Building on Q3 achievements, our 2024 sales strategy for Tehran focuses on three pillars:</w:t>
      </w:r>
    </w:p>
    <w:p>
      <w:pPr>
        <w:numPr>
          <w:ilvl w:val="0"/>
          <w:numId w:val="1004"/>
        </w:numPr>
        <w:pStyle w:val="Compact"/>
      </w:pPr>
      <w:r>
        <w:rPr>
          <w:bCs/>
          <w:b/>
        </w:rPr>
        <w:t xml:space="preserve">SME Empowerment Program:</w:t>
      </w:r>
      <w:r>
        <w:t xml:space="preserve"> </w:t>
      </w:r>
      <w:r>
        <w:t xml:space="preserve">Targeting 50 new small business clients in Tehran's emerging tech startups (e.g., at the Iran-Canada Innovation Hub), offering specialized credit lines with reduced documentation requirements per Central Bank guidelines.</w:t>
      </w:r>
    </w:p>
    <w:p>
      <w:pPr>
        <w:numPr>
          <w:ilvl w:val="0"/>
          <w:numId w:val="1004"/>
        </w:numPr>
        <w:pStyle w:val="Compact"/>
      </w:pPr>
      <w:r>
        <w:rPr>
          <w:bCs/>
          <w:b/>
        </w:rPr>
        <w:t xml:space="preserve">Digital Sales Acceleration:</w:t>
      </w:r>
      <w:r>
        <w:t xml:space="preserve"> </w:t>
      </w:r>
      <w:r>
        <w:t xml:space="preserve">Launching an AI-powered client needs analysis tool for Tehran branches, enabling Banker teams to identify cross-selling opportunities 3x faster during customer interactions.</w:t>
      </w:r>
    </w:p>
    <w:p>
      <w:pPr>
        <w:numPr>
          <w:ilvl w:val="0"/>
          <w:numId w:val="1004"/>
        </w:numPr>
        <w:pStyle w:val="Compact"/>
      </w:pPr>
      <w:r>
        <w:rPr>
          <w:bCs/>
          <w:b/>
        </w:rPr>
        <w:t xml:space="preserve">Sustainable Banking Initiatives:</w:t>
      </w:r>
      <w:r>
        <w:t xml:space="preserve"> </w:t>
      </w:r>
      <w:r>
        <w:t xml:space="preserve">Developing Iran's first green trade finance product focused on Tehran-based companies implementing clean energy projects (e.g., solar power installations at industrial parks).</w:t>
      </w:r>
    </w:p>
    <w:bookmarkEnd w:id="25"/>
    <w:bookmarkStart w:id="26" w:name="X4c0e2c3b78ffc3db008cb4a4203865fc3a39756"/>
    <w:p>
      <w:pPr>
        <w:pStyle w:val="Heading3"/>
      </w:pPr>
      <w:r>
        <w:t xml:space="preserve">Conclusion: The Strategic Role of the Tehran Banker</w:t>
      </w:r>
    </w:p>
    <w:p>
      <w:pPr>
        <w:pStyle w:val="FirstParagraph"/>
      </w:pPr>
      <w:r>
        <w:t xml:space="preserve">This report confirms that successful banking in Iran requires more than transactional sales—it demands cultural intelligence, regulatory expertise, and strategic local market engagement. Our Tehran-based Banker teams have proven instrumental in navigating Iran's unique financial ecosystem while generating sustainable growth. As the economic capital of the Islamic Republic of Iran, Tehran remains our flagship market where banking excellence directly contributes to national development objectives.</w:t>
      </w:r>
    </w:p>
    <w:p>
      <w:pPr>
        <w:pStyle w:val="BodyText"/>
      </w:pPr>
      <w:r>
        <w:t xml:space="preserve">With 68% of our total sales revenue now originating from Tehran-based operations (up from 52% in 2020), we reaffirm our commitment to this critical economic center. Our ongoing success demonstrates that when Banker teams operate with deep understanding of Iran's regulatory environment and local business culture, they deliver exceptional value for both clients and the institution.</w:t>
      </w:r>
    </w:p>
    <w:p>
      <w:pPr>
        <w:pStyle w:val="BodyText"/>
      </w:pPr>
      <w:r>
        <w:rPr>
          <w:bCs/>
          <w:b/>
        </w:rPr>
        <w:t xml:space="preserve">Prepared By:</w:t>
      </w:r>
      <w:r>
        <w:t xml:space="preserve"> </w:t>
      </w:r>
      <w:r>
        <w:t xml:space="preserve">Strategic Sales Division, Tehran Operations</w:t>
      </w:r>
      <w:r>
        <w:br/>
      </w:r>
      <w:r>
        <w:rPr>
          <w:bCs/>
          <w:b/>
        </w:rPr>
        <w:t xml:space="preserve">Approved By:</w:t>
      </w:r>
      <w:r>
        <w:t xml:space="preserve"> </w:t>
      </w:r>
      <w:r>
        <w:t xml:space="preserve">Head of Banking &amp; Finance, Iran Regional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Performance Report: Banking Operations in Tehran, Iran</dc:title>
  <dc:creator/>
  <dc:language>en</dc:language>
  <cp:keywords/>
  <dcterms:created xsi:type="dcterms:W3CDTF">2026-07-23T03:22:25Z</dcterms:created>
  <dcterms:modified xsi:type="dcterms:W3CDTF">2026-07-23T03:22:25Z</dcterms:modified>
</cp:coreProperties>
</file>

<file path=docProps/custom.xml><?xml version="1.0" encoding="utf-8"?>
<Properties xmlns="http://schemas.openxmlformats.org/officeDocument/2006/custom-properties" xmlns:vt="http://schemas.openxmlformats.org/officeDocument/2006/docPropsVTypes"/>
</file>