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Baghdad</w:t>
      </w:r>
      <w:r>
        <w:t xml:space="preserve"> </w:t>
      </w:r>
      <w:r>
        <w:t xml:space="preserve">Banking</w:t>
      </w:r>
      <w:r>
        <w:t xml:space="preserve"> </w:t>
      </w:r>
      <w:r>
        <w:t xml:space="preserve">Sales</w:t>
      </w:r>
      <w:r>
        <w:t xml:space="preserve"> </w:t>
      </w:r>
      <w:r>
        <w:t xml:space="preserve">Report:</w:t>
      </w:r>
      <w:r>
        <w:t xml:space="preserve"> </w:t>
      </w:r>
      <w:r>
        <w:t xml:space="preserve">Strategic</w:t>
      </w:r>
      <w:r>
        <w:t xml:space="preserve"> </w:t>
      </w:r>
      <w:r>
        <w:t xml:space="preserve">Performance</w:t>
      </w:r>
      <w:r>
        <w:t xml:space="preserve"> </w:t>
      </w:r>
      <w:r>
        <w:t xml:space="preserve">&amp;</w:t>
      </w:r>
      <w:r>
        <w:t xml:space="preserve"> </w:t>
      </w:r>
      <w:r>
        <w:t xml:space="preserve">Future</w:t>
      </w:r>
      <w:r>
        <w:t xml:space="preserve"> </w:t>
      </w:r>
      <w:r>
        <w:t xml:space="preserve">Outlook</w:t>
      </w:r>
    </w:p>
    <w:bookmarkStart w:id="27" w:name="X562fb5ab197662ebf8c2929ae9dc1edee91f6cd"/>
    <w:p>
      <w:pPr>
        <w:pStyle w:val="Heading1"/>
      </w:pPr>
      <w:r>
        <w:t xml:space="preserve">Baghdad Banking Sales Report: Strategic Performance and Market Insights for Iraqi Financial Leaders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Central Bank of Iraq &amp; Regional Banking Partners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banking operations within Iraq Baghdad, emphasizing strategic growth in a dynamic and resilient market. As a leading Banker in the Iraqi financial landscape, we have achieved a 14.7% year-over-year increase in sales revenue during Q3 2023, significantly outperforming regional averages. This success stems from our tailored approach to Baghdad's unique economic needs, aggressive customer acquisition strategies in key districts (Karkh, Rusafa, Al-Jadriya), and innovative digital solutions adapted for local infrastructure realities. The Banker’s commitment to community-centric banking has solidified our position as a trusted financial partner across Iraq Baghdad.</w:t>
      </w:r>
    </w:p>
    <w:bookmarkEnd w:id="20"/>
    <w:bookmarkStart w:id="21" w:name="X97606382281edff0261c7b9d7a44b7485acae76"/>
    <w:p>
      <w:pPr>
        <w:pStyle w:val="Heading2"/>
      </w:pPr>
      <w:r>
        <w:t xml:space="preserve">II. Market Context: Banking Dynamics in Iraq Baghdad</w:t>
      </w:r>
    </w:p>
    <w:p>
      <w:pPr>
        <w:pStyle w:val="FirstParagraph"/>
      </w:pPr>
      <w:r>
        <w:t xml:space="preserve">Iraq Baghdad remains the economic nucleus of the country, driving 63% of national banking activity. Post-conflict recovery, oil-driven fiscal policies, and a growing SME sector define our operating environment. Crucially, 78% of Baghdad’s population remains underbanked or underserved by traditional institutions—a gap we actively addressed through localized sales initiatives. This Q3 report underscores how the Banker leveraged Iraq Baghdad’s evolving digital adoption (mobile banking usage up 220% YoY) while maintaining physical branch access in high-traffic areas like Al-Mustansiriya and Al-Sumaria. Sales strategies were explicitly designed for Baghdad’s cultural nuances, including Ramadan-focused product bundles and gender-inclusive service models for women entrepreneurs—a key demographic often excluded from formal banking.</w:t>
      </w:r>
    </w:p>
    <w:bookmarkEnd w:id="21"/>
    <w:bookmarkStart w:id="22" w:name="X651d7e53ff188993097a57dbe7898dae7deebf5"/>
    <w:p>
      <w:pPr>
        <w:pStyle w:val="Heading2"/>
      </w:pPr>
      <w:r>
        <w:t xml:space="preserve">III. Q3 2023 Sales Performance Highlights</w:t>
      </w:r>
    </w:p>
    <w:p>
      <w:pPr>
        <w:pStyle w:val="FirstParagraph"/>
      </w:pPr>
      <w:r>
        <w:rPr>
          <w:bCs/>
          <w:b/>
        </w:rPr>
        <w:t xml:space="preserve">Revenue Growth:</w:t>
      </w:r>
      <w:r>
        <w:t xml:space="preserve"> </w:t>
      </w:r>
      <w:r>
        <w:t xml:space="preserve">Total sales revenue reached $14.8M, a 14.7% increase from Q3 2022 ($12.9M). This growth was fueled by a diversified product portfolio aligned with Baghdad’s economic priorities.</w:t>
      </w:r>
    </w:p>
    <w:p>
      <w:pPr>
        <w:pStyle w:val="BodyText"/>
      </w:pPr>
      <w:r>
        <w:rPr>
          <w:bCs/>
          <w:b/>
        </w:rPr>
        <w:t xml:space="preserve">Key Product Sales Drivers:</w:t>
      </w:r>
    </w:p>
    <w:p>
      <w:pPr>
        <w:numPr>
          <w:ilvl w:val="0"/>
          <w:numId w:val="1001"/>
        </w:numPr>
        <w:pStyle w:val="Compact"/>
      </w:pPr>
      <w:r>
        <w:rPr>
          <w:bCs/>
          <w:b/>
        </w:rPr>
        <w:t xml:space="preserve">SME Financing:</w:t>
      </w:r>
      <w:r>
        <w:t xml:space="preserve"> </w:t>
      </w:r>
      <w:r>
        <w:t xml:space="preserve">38% of total sales, driven by Baghdad’s post-conflict commercial recovery. 217 new SME loans (totaling $6.2M) disbursed to Baghdad-based retailers, construction firms, and agribusinesses.</w:t>
      </w:r>
    </w:p>
    <w:p>
      <w:pPr>
        <w:numPr>
          <w:ilvl w:val="0"/>
          <w:numId w:val="1001"/>
        </w:numPr>
        <w:pStyle w:val="Compact"/>
      </w:pPr>
      <w:r>
        <w:rPr>
          <w:bCs/>
          <w:b/>
        </w:rPr>
        <w:t xml:space="preserve">Digital Banking Adoption:</w:t>
      </w:r>
      <w:r>
        <w:t xml:space="preserve"> </w:t>
      </w:r>
      <w:r>
        <w:t xml:space="preserve">Mobile banking users in Iraq Baghdad surged to 415K (+38% YoY). The Banker’s "Baghdad Digital Wallet" app contributed 29% of new sales revenue through low-fee transactions and microloans.</w:t>
      </w:r>
    </w:p>
    <w:p>
      <w:pPr>
        <w:numPr>
          <w:ilvl w:val="0"/>
          <w:numId w:val="1001"/>
        </w:numPr>
        <w:pStyle w:val="Compact"/>
      </w:pPr>
      <w:r>
        <w:rPr>
          <w:bCs/>
          <w:b/>
        </w:rPr>
        <w:t xml:space="preserve">Cashless Commerce Solutions:</w:t>
      </w:r>
      <w:r>
        <w:t xml:space="preserve"> </w:t>
      </w:r>
      <w:r>
        <w:t xml:space="preserve">Partnering with 1,800 Baghdad merchants (including major markets like Al-Mu’allaq and Al-Karada), we processed $3.1M in digital payments—up 74% from Q2.</w:t>
      </w:r>
    </w:p>
    <w:bookmarkEnd w:id="22"/>
    <w:bookmarkStart w:id="23" w:name="X35e79836e68c1af76e7be5d28269f118425d494"/>
    <w:p>
      <w:pPr>
        <w:pStyle w:val="Heading2"/>
      </w:pPr>
      <w:r>
        <w:t xml:space="preserve">IV. Customer Acquisition &amp; Retention in Baghdad</w:t>
      </w:r>
    </w:p>
    <w:p>
      <w:pPr>
        <w:pStyle w:val="FirstParagraph"/>
      </w:pPr>
      <w:r>
        <w:t xml:space="preserve">The Banker deployed targeted sales campaigns across Baghdad’s 35 districts, focusing on underserved neighborhoods like Al-Bataween and Al-Doura. Key tactics included:</w:t>
      </w:r>
    </w:p>
    <w:p>
      <w:pPr>
        <w:numPr>
          <w:ilvl w:val="0"/>
          <w:numId w:val="1002"/>
        </w:numPr>
        <w:pStyle w:val="Compact"/>
      </w:pPr>
      <w:r>
        <w:rPr>
          <w:bCs/>
          <w:b/>
        </w:rPr>
        <w:t xml:space="preserve">Community Financial Literacy Workshops:</w:t>
      </w:r>
      <w:r>
        <w:t xml:space="preserve"> </w:t>
      </w:r>
      <w:r>
        <w:t xml:space="preserve">Hosted 42 sessions in Baghdad public schools and community centers, generating 1,800 new customer leads.</w:t>
      </w:r>
    </w:p>
    <w:p>
      <w:pPr>
        <w:numPr>
          <w:ilvl w:val="0"/>
          <w:numId w:val="1002"/>
        </w:numPr>
        <w:pStyle w:val="Compact"/>
      </w:pPr>
      <w:r>
        <w:rPr>
          <w:bCs/>
          <w:b/>
        </w:rPr>
        <w:t xml:space="preserve">SME Onboarding Ambassadors:</w:t>
      </w:r>
      <w:r>
        <w:t xml:space="preserve"> </w:t>
      </w:r>
      <w:r>
        <w:t xml:space="preserve">Deployed local Baghdad sales agents with deep community trust to secure 15% of all new business.</w:t>
      </w:r>
    </w:p>
    <w:p>
      <w:pPr>
        <w:numPr>
          <w:ilvl w:val="0"/>
          <w:numId w:val="1002"/>
        </w:numPr>
        <w:pStyle w:val="Compact"/>
      </w:pPr>
      <w:r>
        <w:rPr>
          <w:bCs/>
          <w:b/>
        </w:rPr>
        <w:t xml:space="preserve">Women’s Economic Initiative:</w:t>
      </w:r>
      <w:r>
        <w:t xml:space="preserve"> </w:t>
      </w:r>
      <w:r>
        <w:t xml:space="preserve">Dedicated sales team for female entrepreneurs achieved a 43% customer conversion rate in Baghdad, exceeding the male-led segment by 18 percentage points.</w:t>
      </w:r>
    </w:p>
    <w:p>
      <w:pPr>
        <w:pStyle w:val="FirstParagraph"/>
      </w:pPr>
      <w:r>
        <w:t xml:space="preserve">Retention rates for existing Baghdad clients reached 89%, reflecting the Banker’s success in embedding trust through transparent communication and responsive service—critical in a market where banking relationships are deeply personal.</w:t>
      </w:r>
    </w:p>
    <w:bookmarkEnd w:id="23"/>
    <w:bookmarkStart w:id="24" w:name="v.-challenges-strategic-adaptations"/>
    <w:p>
      <w:pPr>
        <w:pStyle w:val="Heading2"/>
      </w:pPr>
      <w:r>
        <w:t xml:space="preserve">V. Challenges &amp; Strategic Adaptations</w:t>
      </w:r>
    </w:p>
    <w:p>
      <w:pPr>
        <w:pStyle w:val="FirstParagraph"/>
      </w:pPr>
      <w:r>
        <w:t xml:space="preserve">Operating as a Banker in Iraq Baghdad presents unique hurdles, which we addressed proactively:</w:t>
      </w:r>
    </w:p>
    <w:p>
      <w:pPr>
        <w:numPr>
          <w:ilvl w:val="0"/>
          <w:numId w:val="1003"/>
        </w:numPr>
        <w:pStyle w:val="Compact"/>
      </w:pPr>
      <w:r>
        <w:rPr>
          <w:bCs/>
          <w:b/>
        </w:rPr>
        <w:t xml:space="preserve">Currency Volatility:</w:t>
      </w:r>
      <w:r>
        <w:t xml:space="preserve"> </w:t>
      </w:r>
      <w:r>
        <w:t xml:space="preserve">The dinar’s fluctuation against USD impacted pricing models. We introduced dynamic loan interest rates pegged to the Central Bank’s weekly rates, reducing client churn by 27%.</w:t>
      </w:r>
    </w:p>
    <w:p>
      <w:pPr>
        <w:numPr>
          <w:ilvl w:val="0"/>
          <w:numId w:val="1003"/>
        </w:numPr>
        <w:pStyle w:val="Compact"/>
      </w:pPr>
      <w:r>
        <w:rPr>
          <w:bCs/>
          <w:b/>
        </w:rPr>
        <w:t xml:space="preserve">Digital Infrastructure Gaps:</w:t>
      </w:r>
      <w:r>
        <w:t xml:space="preserve"> </w:t>
      </w:r>
      <w:r>
        <w:t xml:space="preserve">In Baghdad’s peripheral areas, internet instability required hybrid sales channels (branch + mobile IVR). This adaptation increased rural customer acquisition by 33%.</w:t>
      </w:r>
    </w:p>
    <w:bookmarkEnd w:id="24"/>
    <w:bookmarkStart w:id="25" w:name="X97db70cb6c40c9369f374ea6cbc26f26e15ea1d"/>
    <w:p>
      <w:pPr>
        <w:pStyle w:val="Heading2"/>
      </w:pPr>
      <w:r>
        <w:t xml:space="preserve">VI. Future Outlook: Strategic Priorities for Iraqi Banking</w:t>
      </w:r>
    </w:p>
    <w:p>
      <w:pPr>
        <w:pStyle w:val="FirstParagraph"/>
      </w:pPr>
      <w:r>
        <w:t xml:space="preserve">Based on Q3 performance, the Banker will focus on three pillars to cement leadership in Iraq Baghdad:</w:t>
      </w:r>
    </w:p>
    <w:p>
      <w:pPr>
        <w:numPr>
          <w:ilvl w:val="0"/>
          <w:numId w:val="1004"/>
        </w:numPr>
        <w:pStyle w:val="Compact"/>
      </w:pPr>
      <w:r>
        <w:rPr>
          <w:bCs/>
          <w:b/>
        </w:rPr>
        <w:t xml:space="preserve">Deepen Baghdad Market Penetration:</w:t>
      </w:r>
      <w:r>
        <w:t xml:space="preserve"> </w:t>
      </w:r>
      <w:r>
        <w:t xml:space="preserve">Target 50 new branches in underserved districts (e.g., Al-Hurriya, Al-Qadisiyah) by Q2 2024, prioritizing high-density commercial corridors.</w:t>
      </w:r>
    </w:p>
    <w:p>
      <w:pPr>
        <w:numPr>
          <w:ilvl w:val="0"/>
          <w:numId w:val="1004"/>
        </w:numPr>
        <w:pStyle w:val="Compact"/>
      </w:pPr>
      <w:r>
        <w:rPr>
          <w:bCs/>
          <w:b/>
        </w:rPr>
        <w:t xml:space="preserve">Scale Digital-First Solutions:</w:t>
      </w:r>
      <w:r>
        <w:t xml:space="preserve"> </w:t>
      </w:r>
      <w:r>
        <w:t xml:space="preserve">Launch "Baghdad Pay" for instant merchant payments in partnership with local e-commerce platforms like Souq.com Iraq.</w:t>
      </w:r>
    </w:p>
    <w:p>
      <w:pPr>
        <w:numPr>
          <w:ilvl w:val="0"/>
          <w:numId w:val="1004"/>
        </w:numPr>
        <w:pStyle w:val="Compact"/>
      </w:pPr>
      <w:r>
        <w:rPr>
          <w:bCs/>
          <w:b/>
        </w:rPr>
        <w:t xml:space="preserve">Invest in Local Talent:</w:t>
      </w:r>
      <w:r>
        <w:t xml:space="preserve"> </w:t>
      </w:r>
      <w:r>
        <w:t xml:space="preserve">Train 200 Baghdad-based sales professionals through our "Banker Academy," emphasizing cultural intelligence and digital tools.</w:t>
      </w:r>
    </w:p>
    <w:bookmarkEnd w:id="25"/>
    <w:bookmarkStart w:id="26" w:name="vii.-conclusion"/>
    <w:p>
      <w:pPr>
        <w:pStyle w:val="Heading2"/>
      </w:pPr>
      <w:r>
        <w:t xml:space="preserve">VII. Conclusion</w:t>
      </w:r>
    </w:p>
    <w:p>
      <w:pPr>
        <w:pStyle w:val="FirstParagraph"/>
      </w:pPr>
      <w:r>
        <w:t xml:space="preserve">This Q3 report demonstrates that as a Banker operating within Iraq Baghdad, success is defined by localized execution—not generic banking models. Our 14.7% sales growth isn’t merely a statistic; it represents tangible progress in integrating finance into Baghdad’s economic fabric through trust, cultural fluency, and agile adaptation. The Banker’s commitment to making financial services accessible across Iraq Baghdad districts has positioned us as an indispensable partner in the nation’s recovery. Moving forward, we will leverage these insights to drive sustainable growth that aligns with Iraq’s developmental goals while delivering exceptional value for every customer in Baghdad.</w:t>
      </w:r>
    </w:p>
    <w:p>
      <w:pPr>
        <w:pStyle w:val="BodyText"/>
      </w:pPr>
      <w:r>
        <w:rPr>
          <w:bCs/>
          <w:b/>
        </w:rPr>
        <w:t xml:space="preserve">Prepared By:</w:t>
      </w:r>
      <w:r>
        <w:t xml:space="preserve"> </w:t>
      </w:r>
      <w:r>
        <w:t xml:space="preserve">Sales Strategy Division, Central Operations | Banking Solutions Group</w:t>
      </w:r>
      <w:r>
        <w:br/>
      </w:r>
      <w:r>
        <w:rPr>
          <w:bCs/>
          <w:b/>
        </w:rPr>
        <w:t xml:space="preserve">Contact:</w:t>
      </w:r>
      <w:r>
        <w:t xml:space="preserve"> </w:t>
      </w:r>
      <w:r>
        <w:t xml:space="preserve">sales@baghdadbanker.com | +964 770 123 4567 (Baghdad)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Baghdad Banking Sales Report: Strategic Performance &amp; Future Outlook</dc:title>
  <dc:creator/>
  <dc:language>en</dc:language>
  <cp:keywords/>
  <dcterms:created xsi:type="dcterms:W3CDTF">2026-07-21T08:34:17Z</dcterms:created>
  <dcterms:modified xsi:type="dcterms:W3CDTF">2026-07-21T08:34:17Z</dcterms:modified>
</cp:coreProperties>
</file>

<file path=docProps/custom.xml><?xml version="1.0" encoding="utf-8"?>
<Properties xmlns="http://schemas.openxmlformats.org/officeDocument/2006/custom-properties" xmlns:vt="http://schemas.openxmlformats.org/officeDocument/2006/docPropsVTypes"/>
</file>