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Jerusalem</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Analysis</w:t>
      </w:r>
    </w:p>
    <w:bookmarkStart w:id="27" w:name="X9d795f79fc9df3f05c75c729e50827c88d5fad9"/>
    <w:p>
      <w:pPr>
        <w:pStyle w:val="Heading1"/>
      </w:pPr>
      <w:r>
        <w:t xml:space="preserve">Comprehensive Sales Report: Banking Performance in Israel Jerusalem Region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Banking Division</w:t>
      </w:r>
      <w:r>
        <w:br/>
      </w:r>
      <w:r>
        <w:rPr>
          <w:bCs/>
          <w:b/>
        </w:rPr>
        <w:t xml:space="preserve">From:</w:t>
      </w:r>
      <w:r>
        <w:t xml:space="preserve"> </w:t>
      </w:r>
      <w:r>
        <w:t xml:space="preserve">Senior Sales &amp; Strategic Development Banker, Israel Jerusalem Operations</w:t>
      </w:r>
      <w:r>
        <w:br/>
      </w:r>
      <w:r>
        <w:rPr>
          <w:bCs/>
          <w:b/>
        </w:rPr>
        <w:t xml:space="preserve">Subject:</w:t>
      </w:r>
      <w:r>
        <w:t xml:space="preserve"> </w:t>
      </w:r>
      <w:r>
        <w:t xml:space="preserve">Q3 2023 Performance Review and Growth Strategy for Jerusalem Market</w:t>
      </w:r>
    </w:p>
    <w:bookmarkStart w:id="20" w:name="i.-executive-summary"/>
    <w:p>
      <w:pPr>
        <w:pStyle w:val="Heading2"/>
      </w:pPr>
      <w:r>
        <w:t xml:space="preserve">I. Executive Summary</w:t>
      </w:r>
    </w:p>
    <w:p>
      <w:pPr>
        <w:pStyle w:val="FirstParagraph"/>
      </w:pPr>
      <w:r>
        <w:t xml:space="preserve">This Sales Report presents a comprehensive analysis of our banking performance across Israel's Jerusalem region during the third quarter of 2023. As a dedicated Banker operating within this strategically significant market, I am pleased to report that our Jerusalem branch achieved 118% of quarterly sales targets, with particular strength in corporate banking and retail wealth management segments. The success reflects our tailored approach to serving Jerusalem's unique economic ecosystem while navigating regional complexities. This document details key metrics, strategic insights, and actionable recommendations for sustaining growth in this pivotal market.</w:t>
      </w:r>
    </w:p>
    <w:bookmarkEnd w:id="20"/>
    <w:bookmarkStart w:id="21" w:name="X3f66a31a782e6dcffc1a044c3fb1dd7189519c3"/>
    <w:p>
      <w:pPr>
        <w:pStyle w:val="Heading2"/>
      </w:pPr>
      <w:r>
        <w:t xml:space="preserve">II. Performance Metrics: Israel Jerusalem Market Focus</w:t>
      </w:r>
    </w:p>
    <w:p>
      <w:pPr>
        <w:pStyle w:val="FirstParagraph"/>
      </w:pPr>
      <w:r>
        <w:t xml:space="preserve">The Jerusalem region has demonstrated exceptional resilience despite regional geopolitical dynamics. Our Sales Report highlights the following key achievements:</w:t>
      </w:r>
    </w:p>
    <w:p>
      <w:pPr>
        <w:numPr>
          <w:ilvl w:val="0"/>
          <w:numId w:val="1001"/>
        </w:numPr>
        <w:pStyle w:val="Compact"/>
      </w:pPr>
      <w:r>
        <w:rPr>
          <w:bCs/>
          <w:b/>
        </w:rPr>
        <w:t xml:space="preserve">Loan Portfolio Growth:</w:t>
      </w:r>
      <w:r>
        <w:t xml:space="preserve"> </w:t>
      </w:r>
      <w:r>
        <w:t xml:space="preserve">+32% YoY in commercial loans to Jerusalem-based SMEs (Total: $147M), driven by targeted support for technology firms and tourism recovery initiatives.</w:t>
      </w:r>
    </w:p>
    <w:p>
      <w:pPr>
        <w:numPr>
          <w:ilvl w:val="0"/>
          <w:numId w:val="1001"/>
        </w:numPr>
        <w:pStyle w:val="Compact"/>
      </w:pPr>
      <w:r>
        <w:rPr>
          <w:bCs/>
          <w:b/>
        </w:rPr>
        <w:t xml:space="preserve">Customer Acquisition:</w:t>
      </w:r>
      <w:r>
        <w:t xml:space="preserve"> </w:t>
      </w:r>
      <w:r>
        <w:t xml:space="preserve">289 new high-net-worth individual (HNI) clients secured, representing a 41% increase over Q2. This growth stems from specialized wealth management services addressing Jerusalem's unique demographic profile.</w:t>
      </w:r>
    </w:p>
    <w:p>
      <w:pPr>
        <w:numPr>
          <w:ilvl w:val="0"/>
          <w:numId w:val="1001"/>
        </w:numPr>
        <w:pStyle w:val="Compact"/>
      </w:pPr>
      <w:r>
        <w:rPr>
          <w:bCs/>
          <w:b/>
        </w:rPr>
        <w:t xml:space="preserve">Cross-Sell Success:</w:t>
      </w:r>
      <w:r>
        <w:t xml:space="preserve"> </w:t>
      </w:r>
      <w:r>
        <w:t xml:space="preserve">Average relationship value increased by 27% as we implemented integrated financial solutions for existing clients in Jerusalem's industrial zones.</w:t>
      </w:r>
    </w:p>
    <w:p>
      <w:pPr>
        <w:numPr>
          <w:ilvl w:val="0"/>
          <w:numId w:val="1001"/>
        </w:numPr>
        <w:pStyle w:val="Compact"/>
      </w:pPr>
      <w:r>
        <w:rPr>
          <w:bCs/>
          <w:b/>
        </w:rPr>
        <w:t xml:space="preserve">Digital Adoption:</w:t>
      </w:r>
      <w:r>
        <w:t xml:space="preserve"> </w:t>
      </w:r>
      <w:r>
        <w:t xml:space="preserve">73% of new customers utilized our mobile banking platform within first month, outperforming national average by 18 percentage points.</w:t>
      </w:r>
    </w:p>
    <w:bookmarkEnd w:id="21"/>
    <w:bookmarkStart w:id="22" w:name="iii.-jerusalem-specific-market-analysis"/>
    <w:p>
      <w:pPr>
        <w:pStyle w:val="Heading2"/>
      </w:pPr>
      <w:r>
        <w:t xml:space="preserve">III. Jerusalem-Specific Market Analysis</w:t>
      </w:r>
    </w:p>
    <w:p>
      <w:pPr>
        <w:pStyle w:val="FirstParagraph"/>
      </w:pPr>
      <w:r>
        <w:t xml:space="preserve">Operating as a Banker in Israel Jerusalem requires nuanced understanding of the city's distinct economic landscape. This Q3 Sales Report identifies critical regional factors influencing performance:</w:t>
      </w:r>
    </w:p>
    <w:p>
      <w:pPr>
        <w:pStyle w:val="BodyText"/>
      </w:pPr>
      <w:r>
        <w:rPr>
          <w:bCs/>
          <w:b/>
        </w:rPr>
        <w:t xml:space="preserve">Demographic Dynamics:</w:t>
      </w:r>
      <w:r>
        <w:t xml:space="preserve"> </w:t>
      </w:r>
      <w:r>
        <w:t xml:space="preserve">Jerusalem's population comprises 45% Jewish, 35% Arab, and 20% other residents (CBS data). Our sales strategy actively serves all communities through culturally attuned services. The Jerusalem branch now offers Hebrew/Arabic bilingual advisory teams in every department – a direct response to client feedback that has increased cross-community engagement by 63%.</w:t>
      </w:r>
    </w:p>
    <w:p>
      <w:pPr>
        <w:pStyle w:val="BodyText"/>
      </w:pPr>
      <w:r>
        <w:rPr>
          <w:bCs/>
          <w:b/>
        </w:rPr>
        <w:t xml:space="preserve">Industry-Specific Opportunities:</w:t>
      </w:r>
      <w:r>
        <w:t xml:space="preserve"> </w:t>
      </w:r>
      <w:r>
        <w:t xml:space="preserve">Our Sales Report notes exceptional growth in:</w:t>
      </w:r>
    </w:p>
    <w:p>
      <w:pPr>
        <w:numPr>
          <w:ilvl w:val="0"/>
          <w:numId w:val="1002"/>
        </w:numPr>
        <w:pStyle w:val="Compact"/>
      </w:pPr>
      <w:r>
        <w:rPr>
          <w:iCs/>
          <w:i/>
        </w:rPr>
        <w:t xml:space="preserve">Tech &amp; Innovation:</w:t>
      </w:r>
      <w:r>
        <w:t xml:space="preserve"> </w:t>
      </w:r>
      <w:r>
        <w:t xml:space="preserve">12 new venture capital partnerships with Jerusalem-based startups (up from 4 in Q2)</w:t>
      </w:r>
    </w:p>
    <w:p>
      <w:pPr>
        <w:numPr>
          <w:ilvl w:val="0"/>
          <w:numId w:val="1002"/>
        </w:numPr>
        <w:pStyle w:val="Compact"/>
      </w:pPr>
      <w:r>
        <w:rPr>
          <w:iCs/>
          <w:i/>
        </w:rPr>
        <w:t xml:space="preserve">Tourism Recovery:</w:t>
      </w:r>
      <w:r>
        <w:t xml:space="preserve"> </w:t>
      </w:r>
      <w:r>
        <w:t xml:space="preserve">Customized financing for hospitality businesses rebounding post-pandemic (23 new loans totaling $8.7M)</w:t>
      </w:r>
    </w:p>
    <w:p>
      <w:pPr>
        <w:numPr>
          <w:ilvl w:val="0"/>
          <w:numId w:val="1002"/>
        </w:numPr>
        <w:pStyle w:val="Compact"/>
      </w:pPr>
      <w:r>
        <w:rPr>
          <w:iCs/>
          <w:i/>
        </w:rPr>
        <w:t xml:space="preserve">Real Estate:</w:t>
      </w:r>
      <w:r>
        <w:t xml:space="preserve"> </w:t>
      </w:r>
      <w:r>
        <w:t xml:space="preserve">18% increase in residential mortgages for Jerusalem's expanding neighborhoods</w:t>
      </w:r>
    </w:p>
    <w:bookmarkEnd w:id="22"/>
    <w:bookmarkStart w:id="23" w:name="Xedc7097f46e88d03324e3724e53b6c6615685d1"/>
    <w:p>
      <w:pPr>
        <w:pStyle w:val="Heading2"/>
      </w:pPr>
      <w:r>
        <w:t xml:space="preserve">IV. Strategic Initiatives Driving Success</w:t>
      </w:r>
    </w:p>
    <w:p>
      <w:pPr>
        <w:pStyle w:val="FirstParagraph"/>
      </w:pPr>
      <w:r>
        <w:t xml:space="preserve">This quarter, our Banker team executed three region-specific initiatives that directly contributed to Q3 results:</w:t>
      </w:r>
    </w:p>
    <w:p>
      <w:pPr>
        <w:numPr>
          <w:ilvl w:val="0"/>
          <w:numId w:val="1003"/>
        </w:numPr>
        <w:pStyle w:val="Compact"/>
      </w:pPr>
      <w:r>
        <w:rPr>
          <w:bCs/>
          <w:b/>
        </w:rPr>
        <w:t xml:space="preserve">Jerusalem Community Banking Hubs:</w:t>
      </w:r>
      <w:r>
        <w:t xml:space="preserve"> </w:t>
      </w:r>
      <w:r>
        <w:t xml:space="preserve">Established satellite offices in 4 key neighborhoods (Mehilah, Shmuel HaNavi, Abu Tor, and Talpiot). This localized approach increased client touchpoints by 57% and resolved regional service gaps identified in our Q2 customer surveys.</w:t>
      </w:r>
    </w:p>
    <w:p>
      <w:pPr>
        <w:numPr>
          <w:ilvl w:val="0"/>
          <w:numId w:val="1003"/>
        </w:numPr>
        <w:pStyle w:val="Compact"/>
      </w:pPr>
      <w:r>
        <w:rPr>
          <w:bCs/>
          <w:b/>
        </w:rPr>
        <w:t xml:space="preserve">Interfaith Financial Advisory Program:</w:t>
      </w:r>
      <w:r>
        <w:t xml:space="preserve"> </w:t>
      </w:r>
      <w:r>
        <w:t xml:space="preserve">Developed partnerships with Jerusalem's major religious institutions to offer Sharia-compliant banking solutions. This initiative generated $3.2M in new deposits from Orthodox Jewish and Muslim community funds within 90 days of launch.</w:t>
      </w:r>
    </w:p>
    <w:bookmarkEnd w:id="23"/>
    <w:bookmarkStart w:id="24" w:name="v.-challenges-and-mitigation-strategies"/>
    <w:p>
      <w:pPr>
        <w:pStyle w:val="Heading2"/>
      </w:pPr>
      <w:r>
        <w:t xml:space="preserve">V. Challenges and Mitigation Strategies</w:t>
      </w:r>
    </w:p>
    <w:p>
      <w:pPr>
        <w:pStyle w:val="FirstParagraph"/>
      </w:pPr>
      <w:r>
        <w:t xml:space="preserve">As a Banker operating in Israel Jerusalem, we face unique challenges that require constant adaptation:</w:t>
      </w:r>
    </w:p>
    <w:p>
      <w:pPr>
        <w:pStyle w:val="BodyText"/>
      </w:pPr>
      <w:r>
        <w:rPr>
          <w:bCs/>
          <w:b/>
        </w:rPr>
        <w:t xml:space="preserve">Geopolitical Sensitivity:</w:t>
      </w:r>
      <w:r>
        <w:t xml:space="preserve"> </w:t>
      </w:r>
      <w:r>
        <w:t xml:space="preserve">Despite regional tensions, our Sales Report confirms 94% of clients rate our "political neutrality" as a key factor in their banking relationship. We maintain this by avoiding any public commentary on political matters and focusing exclusively on financial solutions.</w:t>
      </w:r>
    </w:p>
    <w:p>
      <w:pPr>
        <w:pStyle w:val="BodyText"/>
      </w:pPr>
      <w:r>
        <w:rPr>
          <w:bCs/>
          <w:b/>
        </w:rPr>
        <w:t xml:space="preserve">Infrastructure Constraints:</w:t>
      </w:r>
      <w:r>
        <w:t xml:space="preserve"> </w:t>
      </w:r>
      <w:r>
        <w:t xml:space="preserve">Limited physical office space in Jerusalem's historic center required innovative solutions. Our team implemented mobile banking units that serve 20+ neighborhood locations weekly, eliminating geographic barriers for 42% of our client base.</w:t>
      </w:r>
    </w:p>
    <w:bookmarkEnd w:id="24"/>
    <w:bookmarkStart w:id="25" w:name="vi.-future-outlook-q4-strategic-roadmap"/>
    <w:p>
      <w:pPr>
        <w:pStyle w:val="Heading2"/>
      </w:pPr>
      <w:r>
        <w:t xml:space="preserve">VI. Future Outlook: Q4 Strategic Roadmap</w:t>
      </w:r>
    </w:p>
    <w:p>
      <w:pPr>
        <w:pStyle w:val="FirstParagraph"/>
      </w:pPr>
      <w:r>
        <w:t xml:space="preserve">Based on our Jerusalem sales performance, we propose three priority actions for Q4:</w:t>
      </w:r>
    </w:p>
    <w:p>
      <w:pPr>
        <w:numPr>
          <w:ilvl w:val="0"/>
          <w:numId w:val="1004"/>
        </w:numPr>
        <w:pStyle w:val="Compact"/>
      </w:pPr>
      <w:r>
        <w:rPr>
          <w:bCs/>
          <w:b/>
        </w:rPr>
        <w:t xml:space="preserve">Expand Community Anchor Program:</w:t>
      </w:r>
      <w:r>
        <w:t xml:space="preserve"> </w:t>
      </w:r>
      <w:r>
        <w:t xml:space="preserve">Partner with 3 additional major Jerusalem institutions (including Hebrew University and the Jerusalem Foundation) to establish recurring financial education workshops. Projected impact: +15% new client acquisition.</w:t>
      </w:r>
    </w:p>
    <w:p>
      <w:pPr>
        <w:numPr>
          <w:ilvl w:val="0"/>
          <w:numId w:val="1004"/>
        </w:numPr>
        <w:pStyle w:val="Compact"/>
      </w:pPr>
      <w:r>
        <w:rPr>
          <w:bCs/>
          <w:b/>
        </w:rPr>
        <w:t xml:space="preserve">Develop ESG Finance Package:</w:t>
      </w:r>
      <w:r>
        <w:t xml:space="preserve"> </w:t>
      </w:r>
      <w:r>
        <w:t xml:space="preserve">Create specialized green loans for Jerusalem's sustainable urban projects (e.g., solar installations for historic buildings). Aligns with city council's 2030 sustainability goals and meets growing HNI demand.</w:t>
      </w:r>
    </w:p>
    <w:bookmarkEnd w:id="25"/>
    <w:bookmarkStart w:id="26" w:name="vii.-conclusion"/>
    <w:p>
      <w:pPr>
        <w:pStyle w:val="Heading2"/>
      </w:pPr>
      <w:r>
        <w:t xml:space="preserve">VII. Conclusion</w:t>
      </w:r>
    </w:p>
    <w:p>
      <w:pPr>
        <w:pStyle w:val="FirstParagraph"/>
      </w:pPr>
      <w:r>
        <w:t xml:space="preserve">This Sales Report affirms that Israel Jerusalem remains a high-potential market where our Banker team's localized expertise delivers exceptional results. The 32% commercial loan growth and record HNI acquisition demonstrate that culturally intelligent banking resonates deeply with Jerusalem's diverse population. As we move into Q4, our commitment to serving all Jerusalem communities through ethical, innovative financial solutions remains unwavering.</w:t>
      </w:r>
    </w:p>
    <w:p>
      <w:pPr>
        <w:pStyle w:val="BodyText"/>
      </w:pPr>
      <w:r>
        <w:t xml:space="preserve">Our success in this critical market proves that when banking services are tailored to local context—rather than generic national approaches—the results transcend conventional metrics. The Israel Jerusalem branch has become a model for how global banking institutions can thrive while respecting regional identity. I recommend allocating 15% of our regional marketing budget exclusively to Jerusalem's community-based initiatives, as these have delivered 3x higher customer lifetime value than traditional channels.</w:t>
      </w:r>
    </w:p>
    <w:p>
      <w:pPr>
        <w:pStyle w:val="BodyText"/>
      </w:pPr>
      <w:r>
        <w:t xml:space="preserve">As the premier Banker serving Jerusalem, we are not merely reporting sales figures—we are building financial partnerships that support Jerusalem's economic fabric. This Sales Report underscores our commitment to being the bank that understands and serves Israel Jerusalem with precision and purpose.</w:t>
      </w:r>
    </w:p>
    <w:p>
      <w:pPr>
        <w:pStyle w:val="BodyText"/>
      </w:pPr>
      <w:r>
        <w:rPr>
          <w:bCs/>
          <w:b/>
        </w:rPr>
        <w:t xml:space="preserve">Prepared by:</w:t>
      </w:r>
      <w:r>
        <w:t xml:space="preserve"> </w:t>
      </w:r>
      <w:r>
        <w:t xml:space="preserve">[Your Name], Senior Sales &amp; Strategic Development Banker, Israel Jerusalem</w:t>
      </w:r>
      <w:r>
        <w:br/>
      </w:r>
      <w:r>
        <w:rPr>
          <w:bCs/>
          <w:b/>
        </w:rPr>
        <w:t xml:space="preserve">Contact:</w:t>
      </w:r>
      <w:r>
        <w:t xml:space="preserve"> </w:t>
      </w:r>
      <w:r>
        <w:t xml:space="preserve">jerusalem.sales@bankingglobal.com | +972-2-555-1234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Jerusalem Sales Report: Banking Performance Analysis</dc:title>
  <dc:creator/>
  <dc:language>en</dc:language>
  <cp:keywords/>
  <dcterms:created xsi:type="dcterms:W3CDTF">2026-07-23T10:42:24Z</dcterms:created>
  <dcterms:modified xsi:type="dcterms:W3CDTF">2026-07-23T10:42:24Z</dcterms:modified>
</cp:coreProperties>
</file>

<file path=docProps/custom.xml><?xml version="1.0" encoding="utf-8"?>
<Properties xmlns="http://schemas.openxmlformats.org/officeDocument/2006/custom-properties" xmlns:vt="http://schemas.openxmlformats.org/officeDocument/2006/docPropsVTypes"/>
</file>