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Banker</w:t>
      </w:r>
      <w:r>
        <w:t xml:space="preserve"> </w:t>
      </w:r>
      <w:r>
        <w:t xml:space="preserve">Operations</w:t>
      </w:r>
      <w:r>
        <w:t xml:space="preserve"> </w:t>
      </w:r>
      <w:r>
        <w:t xml:space="preserve">in</w:t>
      </w:r>
      <w:r>
        <w:t xml:space="preserve"> </w:t>
      </w:r>
      <w:r>
        <w:t xml:space="preserve">Israel</w:t>
      </w:r>
      <w:r>
        <w:t xml:space="preserve"> </w:t>
      </w:r>
      <w:r>
        <w:t xml:space="preserve">Tel</w:t>
      </w:r>
      <w:r>
        <w:t xml:space="preserve"> </w:t>
      </w:r>
      <w:r>
        <w:t xml:space="preserve">Aviv</w:t>
      </w:r>
    </w:p>
    <w:bookmarkStart w:id="31" w:name="X1e104d85f230e892ab8519df1b84e355832c1bb"/>
    <w:p>
      <w:pPr>
        <w:pStyle w:val="Heading1"/>
      </w:pPr>
      <w:r>
        <w:t xml:space="preserve">Quarterly Sales Report for Senior Banker Operations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 Regional Office</w:t>
      </w:r>
      <w:r>
        <w:br/>
      </w:r>
      <w:r>
        <w:rPr>
          <w:bCs/>
          <w:b/>
        </w:rPr>
        <w:t xml:space="preserve">Prepared By:</w:t>
      </w:r>
      <w:r>
        <w:t xml:space="preserve"> </w:t>
      </w:r>
      <w:r>
        <w:t xml:space="preserve">Michael Cohen, Senior Sales Banker</w:t>
      </w:r>
    </w:p>
    <w:bookmarkStart w:id="20" w:name="executive-summary"/>
    <w:p>
      <w:pPr>
        <w:pStyle w:val="Heading2"/>
      </w:pPr>
      <w:r>
        <w:t xml:space="preserve">Executive Summary</w:t>
      </w:r>
    </w:p>
    <w:p>
      <w:pPr>
        <w:pStyle w:val="FirstParagraph"/>
      </w:pPr>
      <w:r>
        <w:t xml:space="preserve">This comprehensive Sales Report details the performance of our banking operations across Tel Aviv and surrounding regions in Israel during Q3 2023. As the leading commercial bank in Israel Tel Aviv, our Senior Banker team achieved a remarkable 18% year-over-year growth in new client acquisitions and a 22% increase in cross-sell revenue. The report underscores how strategic local market intelligence, coupled with tailored financial solutions, has positioned us at the forefront of Israel's dynamic banking sector. Notably, Tel Aviv's status as Israel's economic capital continues to drive exceptional sales outcomes for our Banker team.</w:t>
      </w:r>
    </w:p>
    <w:bookmarkEnd w:id="20"/>
    <w:bookmarkStart w:id="21" w:name="Xdf18bc5f5425a8e20a48a724c70184a0947ad8c"/>
    <w:p>
      <w:pPr>
        <w:pStyle w:val="Heading2"/>
      </w:pPr>
      <w:r>
        <w:t xml:space="preserve">Market Context: Israel Tel Aviv Banking Landscape</w:t>
      </w:r>
    </w:p>
    <w:p>
      <w:pPr>
        <w:pStyle w:val="FirstParagraph"/>
      </w:pPr>
      <w:r>
        <w:t xml:space="preserve">Israel Tel Aviv remains the undisputed financial hub of the Middle East, housing 78% of Israel's Fortune 500 companies and over 30 international banking branches. Our Sales Report confirms that Tel Aviv-based businesses represent our most lucrative market segment, accounting for 65% of total commercial banking revenue. The local economy's resilience – with GDP growth at 2.4% in Q3 – created fertile ground for our Banker team to leverage high-demand services including SME financing, venture capital partnerships, and international trade solutions. This report emphasizes how our Tel Aviv operations directly contribute to Israel's $500B financial services sector performance.</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Commercial Clients (Tel Aviv)</w:t>
      </w:r>
    </w:p>
    <w:p>
      <w:pPr>
        <w:pStyle w:val="BodyText"/>
      </w:pPr>
      <w:r>
        <w:t xml:space="preserve">147</w:t>
      </w:r>
    </w:p>
    <w:p>
      <w:pPr>
        <w:pStyle w:val="BodyText"/>
      </w:pPr>
      <w:r>
        <w:t xml:space="preserve">125</w:t>
      </w:r>
    </w:p>
    <w:p>
      <w:pPr>
        <w:pStyle w:val="BodyText"/>
      </w:pPr>
      <w:r>
        <w:t xml:space="preserve">+17.6%</w:t>
      </w:r>
    </w:p>
    <w:p>
      <w:pPr>
        <w:pStyle w:val="BodyText"/>
      </w:pPr>
      <w:r>
        <w:t xml:space="preserve">Total Deal Value Generated</w:t>
      </w:r>
    </w:p>
    <w:p>
      <w:pPr>
        <w:pStyle w:val="BodyText"/>
      </w:pPr>
      <w:r>
        <w:t xml:space="preserve">$89.3M</w:t>
      </w:r>
    </w:p>
    <w:p>
      <w:pPr>
        <w:pStyle w:val="BodyText"/>
      </w:pPr>
      <w:r>
        <w:t xml:space="preserve">$73.1M</w:t>
      </w:r>
    </w:p>
    <w:p>
      <w:pPr>
        <w:pStyle w:val="BodyText"/>
      </w:pPr>
      <w:r>
        <w:t xml:space="preserve">+22.2%</w:t>
      </w:r>
    </w:p>
    <w:p>
      <w:pPr>
        <w:pStyle w:val="BodyText"/>
      </w:pPr>
      <w:r>
        <w:t xml:space="preserve">Client Retention Rate (Tel Aviv)</w:t>
      </w:r>
    </w:p>
    <w:p>
      <w:pPr>
        <w:pStyle w:val="BodyText"/>
      </w:pPr>
      <w:r>
        <w:t xml:space="preserve">94%</w:t>
      </w:r>
    </w:p>
    <w:bookmarkEnd w:id="22"/>
    <w:bookmarkStart w:id="26" w:name="Xa7d4b80c7bdd58a893ef01be472de30e50c584f"/>
    <w:p>
      <w:pPr>
        <w:pStyle w:val="Heading2"/>
      </w:pPr>
      <w:r>
        <w:t xml:space="preserve">Strategic Initiatives Driving Sales Success</w:t>
      </w:r>
    </w:p>
    <w:p>
      <w:pPr>
        <w:pStyle w:val="FirstParagraph"/>
      </w:pPr>
      <w:r>
        <w:t xml:space="preserve">Our Sales Report identifies three key initiatives that delivered exceptional results in Israel Tel Aviv:</w:t>
      </w:r>
    </w:p>
    <w:bookmarkStart w:id="23" w:name="hyper-localized-client-solutions"/>
    <w:p>
      <w:pPr>
        <w:pStyle w:val="Heading3"/>
      </w:pPr>
      <w:r>
        <w:t xml:space="preserve">1. Hyper-Localized Client Solutions</w:t>
      </w:r>
    </w:p>
    <w:p>
      <w:pPr>
        <w:pStyle w:val="FirstParagraph"/>
      </w:pPr>
      <w:r>
        <w:t xml:space="preserve">In Israel Tel Aviv's competitive market, our Banker team developed specialized financial packages for emerging sectors including cybersecurity startups (42% of new client acquisitions) and high-tech exporters. For example, the "Tel Aviv Tech Acceleration Program" provided flexible financing with waived fees for first-year clients – driving 38 new high-value accounts in Q3 alone.</w:t>
      </w:r>
    </w:p>
    <w:bookmarkEnd w:id="23"/>
    <w:bookmarkStart w:id="24" w:name="digital-integration-ecosystem"/>
    <w:p>
      <w:pPr>
        <w:pStyle w:val="Heading3"/>
      </w:pPr>
      <w:r>
        <w:t xml:space="preserve">2. Digital Integration Ecosystem</w:t>
      </w:r>
    </w:p>
    <w:p>
      <w:pPr>
        <w:pStyle w:val="FirstParagraph"/>
      </w:pPr>
      <w:r>
        <w:t xml:space="preserve">We implemented a mobile-first sales platform accessible directly from Tel Aviv office locations, allowing Bankers to deliver real-time credit decisions during client meetings. This reduced sales cycle times by 40% and became a key differentiator in Israel Tel Aviv's fast-paced business environment.</w:t>
      </w:r>
    </w:p>
    <w:bookmarkEnd w:id="24"/>
    <w:bookmarkStart w:id="25" w:name="strategic-industry-partnerships"/>
    <w:p>
      <w:pPr>
        <w:pStyle w:val="Heading3"/>
      </w:pPr>
      <w:r>
        <w:t xml:space="preserve">3. Strategic Industry Partnerships</w:t>
      </w:r>
    </w:p>
    <w:p>
      <w:pPr>
        <w:pStyle w:val="FirstParagraph"/>
      </w:pPr>
      <w:r>
        <w:t xml:space="preserve">Cultivating relationships with Tel Aviv-based incubators (notably The Tower, 101 Startup) generated referral streams accounting for 27% of new commercial clients. This partnership model – central to our Israel Tel Aviv sales strategy – has positioned us as the preferred financial partner for Israel's innovation ecosystem.</w:t>
      </w:r>
    </w:p>
    <w:bookmarkEnd w:id="25"/>
    <w:bookmarkEnd w:id="26"/>
    <w:bookmarkStart w:id="27" w:name="market-challenges-adaptive-strategies"/>
    <w:p>
      <w:pPr>
        <w:pStyle w:val="Heading2"/>
      </w:pPr>
      <w:r>
        <w:t xml:space="preserve">Market Challenges &amp; Adaptive Strategies</w:t>
      </w:r>
    </w:p>
    <w:p>
      <w:pPr>
        <w:pStyle w:val="FirstParagraph"/>
      </w:pPr>
      <w:r>
        <w:t xml:space="preserve">Our Sales Report acknowledges challenges specific to operating in Israel Tel Aviv. The 14% rise in operational costs due to regional economic factors prompted our Banker team to implement innovative cost-efficiency measures:</w:t>
      </w:r>
    </w:p>
    <w:p>
      <w:pPr>
        <w:numPr>
          <w:ilvl w:val="0"/>
          <w:numId w:val="1001"/>
        </w:numPr>
        <w:pStyle w:val="Compact"/>
      </w:pPr>
      <w:r>
        <w:rPr>
          <w:bCs/>
          <w:b/>
        </w:rPr>
        <w:t xml:space="preserve">Localized Pricing Models:</w:t>
      </w:r>
      <w:r>
        <w:t xml:space="preserve"> </w:t>
      </w:r>
      <w:r>
        <w:t xml:space="preserve">Adjusted fee structures for Tel Aviv SMEs based on actual business cycles (e.g., reduced fees during tourism season)</w:t>
      </w:r>
    </w:p>
    <w:p>
      <w:pPr>
        <w:numPr>
          <w:ilvl w:val="0"/>
          <w:numId w:val="1001"/>
        </w:numPr>
        <w:pStyle w:val="Compact"/>
      </w:pPr>
      <w:r>
        <w:rPr>
          <w:bCs/>
          <w:b/>
        </w:rPr>
        <w:t xml:space="preserve">Crisis Response Protocol:</w:t>
      </w:r>
      <w:r>
        <w:t xml:space="preserve"> </w:t>
      </w:r>
      <w:r>
        <w:t xml:space="preserve">Developed rapid financial assistance framework for clients affected by regional disruptions – retained 91% of at-risk accounts</w:t>
      </w:r>
    </w:p>
    <w:p>
      <w:pPr>
        <w:numPr>
          <w:ilvl w:val="0"/>
          <w:numId w:val="1001"/>
        </w:numPr>
        <w:pStyle w:val="Compact"/>
      </w:pPr>
      <w:r>
        <w:rPr>
          <w:bCs/>
          <w:b/>
        </w:rPr>
        <w:t xml:space="preserve">Talent Retention Initiatives:</w:t>
      </w:r>
      <w:r>
        <w:t xml:space="preserve"> </w:t>
      </w:r>
      <w:r>
        <w:t xml:space="preserve">Implemented competitive compensation packages for Tel Aviv Bankers, reducing turnover by 32%</w:t>
      </w:r>
    </w:p>
    <w:bookmarkEnd w:id="27"/>
    <w:bookmarkStart w:id="28" w:name="client-testimonial-spotlight"/>
    <w:p>
      <w:pPr>
        <w:pStyle w:val="Heading2"/>
      </w:pPr>
      <w:r>
        <w:t xml:space="preserve">Client Testimonial Spotlight</w:t>
      </w:r>
    </w:p>
    <w:p>
      <w:pPr>
        <w:pStyle w:val="FirstParagraph"/>
      </w:pPr>
      <w:r>
        <w:t xml:space="preserve">"Working with our dedicated Banker from the Israel Tel Aviv office transformed how we access capital. They understood our startup's unique needs in the local market, not just generic banking products." – Orly Ben-David, CEO of CyberShield (Tel Aviv-based cybersecurity firm)</w:t>
      </w:r>
    </w:p>
    <w:bookmarkEnd w:id="28"/>
    <w:bookmarkStart w:id="29" w:name="future-outlook-strategic-recommendations"/>
    <w:p>
      <w:pPr>
        <w:pStyle w:val="Heading2"/>
      </w:pPr>
      <w:r>
        <w:t xml:space="preserve">Future Outlook &amp; Strategic Recommendations</w:t>
      </w:r>
    </w:p>
    <w:p>
      <w:pPr>
        <w:pStyle w:val="FirstParagraph"/>
      </w:pPr>
      <w:r>
        <w:t xml:space="preserve">Based on Q3 performance, our Sales Report recommends the following for Israel Tel Aviv operations:</w:t>
      </w:r>
    </w:p>
    <w:p>
      <w:pPr>
        <w:numPr>
          <w:ilvl w:val="0"/>
          <w:numId w:val="1002"/>
        </w:numPr>
        <w:pStyle w:val="Compact"/>
      </w:pPr>
      <w:r>
        <w:rPr>
          <w:bCs/>
          <w:b/>
        </w:rPr>
        <w:t xml:space="preserve">Expand Tel Aviv Innovation Hub:</w:t>
      </w:r>
      <w:r>
        <w:t xml:space="preserve"> </w:t>
      </w:r>
      <w:r>
        <w:t xml:space="preserve">Allocate additional resources to establish a dedicated fintech accelerator within our Tel Aviv branch</w:t>
      </w:r>
    </w:p>
    <w:p>
      <w:pPr>
        <w:numPr>
          <w:ilvl w:val="0"/>
          <w:numId w:val="1002"/>
        </w:numPr>
        <w:pStyle w:val="Compact"/>
      </w:pPr>
      <w:r>
        <w:rPr>
          <w:bCs/>
          <w:b/>
        </w:rPr>
        <w:t xml:space="preserve">Enhance Local Talent Pipeline:</w:t>
      </w:r>
      <w:r>
        <w:t xml:space="preserve"> </w:t>
      </w:r>
      <w:r>
        <w:t xml:space="preserve">Partner with Technion-Israel Institute of Technology for targeted recruitment of local banking talent</w:t>
      </w:r>
    </w:p>
    <w:p>
      <w:pPr>
        <w:numPr>
          <w:ilvl w:val="0"/>
          <w:numId w:val="1002"/>
        </w:numPr>
        <w:pStyle w:val="Compact"/>
      </w:pPr>
      <w:r>
        <w:rPr>
          <w:bCs/>
          <w:b/>
        </w:rPr>
        <w:t xml:space="preserve">Niche Market Expansion:</w:t>
      </w:r>
      <w:r>
        <w:t xml:space="preserve"> </w:t>
      </w:r>
      <w:r>
        <w:t xml:space="preserve">Develop specialized services for Israel's growing green-tech sector, projected to reach $1.2B in Tel Aviv by 2025</w:t>
      </w:r>
    </w:p>
    <w:p>
      <w:pPr>
        <w:pStyle w:val="FirstParagraph"/>
      </w:pPr>
      <w:r>
        <w:t xml:space="preserve">These initiatives align with our strategic vision for the Israeli market, where Tel Aviv remains the critical engine of growth. The data confirms that continued investment in Israel Tel Aviv operations will yield disproportionate returns – with every $1 invested generating $4.30 in revenue (based on Q3 metrics).</w:t>
      </w:r>
    </w:p>
    <w:bookmarkEnd w:id="29"/>
    <w:bookmarkStart w:id="30" w:name="conclusion"/>
    <w:p>
      <w:pPr>
        <w:pStyle w:val="Heading2"/>
      </w:pPr>
      <w:r>
        <w:t xml:space="preserve">Conclusion</w:t>
      </w:r>
    </w:p>
    <w:p>
      <w:pPr>
        <w:pStyle w:val="FirstParagraph"/>
      </w:pPr>
      <w:r>
        <w:t xml:space="preserve">This Sales Report demonstrates unequivocally that our Banker team's performance in Israel Tel Aviv sets the global benchmark for regional banking excellence. By deeply understanding Tel Aviv's unique economic ecosystem and deploying market-specific strategies, we've achieved sustainable growth that outperforms national averages by 37%. As Israel Tel Aviv continues to solidify its position as a top-tier global financial center, our Sales Report confirms that our Banker operations are not just participating in – but actively shaping – the future of banking in this critical market. We recommend full implementation of Q4 strategic initiatives to capture 25%+ market share growth in Israel Tel Aviv's commercial banking segment.</w:t>
      </w:r>
    </w:p>
    <w:p>
      <w:pPr>
        <w:pStyle w:val="BodyText"/>
      </w:pPr>
      <w:r>
        <w:t xml:space="preserve">"In Tel Aviv, where innovation is the heartbeat of commerce, our Banker team transforms financial strategy into competitive advantage."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Banker Operations in Israel Tel Aviv</dc:title>
  <dc:creator/>
  <dc:language>en</dc:language>
  <cp:keywords/>
  <dcterms:created xsi:type="dcterms:W3CDTF">2026-07-23T19:42:08Z</dcterms:created>
  <dcterms:modified xsi:type="dcterms:W3CDTF">2026-07-23T19:42:08Z</dcterms:modified>
</cp:coreProperties>
</file>

<file path=docProps/custom.xml><?xml version="1.0" encoding="utf-8"?>
<Properties xmlns="http://schemas.openxmlformats.org/officeDocument/2006/custom-properties" xmlns:vt="http://schemas.openxmlformats.org/officeDocument/2006/docPropsVTypes"/>
</file>