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Italy</w:t>
      </w:r>
      <w:r>
        <w:t xml:space="preserve"> </w:t>
      </w:r>
      <w:r>
        <w:t xml:space="preserve">Milan</w:t>
      </w:r>
    </w:p>
    <w:bookmarkStart w:id="26" w:name="Xf2be6b65e6764a6f9c3e19187f4c92da493acb2"/>
    <w:p>
      <w:pPr>
        <w:pStyle w:val="Heading1"/>
      </w:pPr>
      <w:r>
        <w:t xml:space="preserve">SALES REPORT | BANKING PERFORMANCE ANALYSIS - ITALY MILAN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Reporting Period:</w:t>
      </w:r>
      <w:r>
        <w:t xml:space="preserve"> </w:t>
      </w:r>
      <w:r>
        <w:t xml:space="preserve">Q3 2023</w:t>
      </w:r>
    </w:p>
    <w:p>
      <w:pPr>
        <w:pStyle w:val="BodyText"/>
      </w:pPr>
      <w:r>
        <w:t xml:space="preserve">This comprehensive Sales Report details the performance trajectory of our Banking division specifically within the Italy Milan market. As a premier financial institution with deep roots in Lombardy, this document serves as the definitive Sales Report for strategizing client acquisition, relationship management, and revenue optimization. The success of each Banker operating in Italy Milan remains central to our regional growth narrative.</w:t>
      </w:r>
    </w:p>
    <w:bookmarkStart w:id="20" w:name="X8823c5122e7ce790329d218d22ce614ee529733"/>
    <w:p>
      <w:pPr>
        <w:pStyle w:val="Heading2"/>
      </w:pPr>
      <w:r>
        <w:t xml:space="preserve">Executive Summary: Driving Growth in Italy Milan's Dynamic Banking Landscape</w:t>
      </w:r>
    </w:p>
    <w:p>
      <w:pPr>
        <w:pStyle w:val="FirstParagraph"/>
      </w:pPr>
      <w:r>
        <w:t xml:space="preserve">The Q3 2023 Sales Report confirms robust performance across key metrics for our banking operations within Italy Milan. Total client portfolio value grew by 18.7% year-over-year, significantly outperforming the national average of 9.4%. This growth is directly attributed to the strategic execution of our dedicated Banker teams operating in Lombardy's financial capital. The Italy Milan market continues to demonstrate resilience despite broader Eurozone economic volatility, driven by strong corporate activity and affluent private client demand. Our Sales Report underscores that targeted relationship management, delivered effectively by each individual Banker, is the primary engine for this success.</w:t>
      </w:r>
    </w:p>
    <w:bookmarkEnd w:id="20"/>
    <w:bookmarkStart w:id="21" w:name="X6d69abe6f0115c1d69665d236d238564b544113"/>
    <w:p>
      <w:pPr>
        <w:pStyle w:val="Heading2"/>
      </w:pPr>
      <w:r>
        <w:t xml:space="preserve">Market Analysis: Italy Milan's Unique Banking Dynamics</w:t>
      </w:r>
    </w:p>
    <w:p>
      <w:pPr>
        <w:pStyle w:val="FirstParagraph"/>
      </w:pPr>
      <w:r>
        <w:t xml:space="preserve">Italy Milan stands as the undisputed financial epicenter of Italy, contributing over 25% to the nation's GDP and hosting headquarters for 80% of major Italian banks. This concentration creates intense competition but also unparalleled opportunities for relationship-focused banking. The Q3 Sales Report reveals that our competitive advantage in Italy Milan stems from hyper-localized service delivery by our Bankers, who possess deep understanding of Milanese business culture, regulatory nuances (CONSOB, Banca d'Italia), and sector-specific demands. Unlike other regions, Milan's market prioritizes personalized advisory over transactional banking; a critical insight reflected in our Sales Report data showing 74% of new client acquisitions originated through existing client referrals within Italy Milan.</w:t>
      </w:r>
    </w:p>
    <w:bookmarkEnd w:id="21"/>
    <w:bookmarkStart w:id="22" w:name="X31496a2546f05f38d43a38e0e4384b0691964c4"/>
    <w:p>
      <w:pPr>
        <w:pStyle w:val="Heading2"/>
      </w:pPr>
      <w:r>
        <w:t xml:space="preserve">Key Performance Indicators: Sales Report Highlights</w:t>
      </w:r>
    </w:p>
    <w:p>
      <w:pPr>
        <w:pStyle w:val="FirstParagraph"/>
      </w:pPr>
      <w:r>
        <w:t xml:space="preserve">This section details quantifiable outcomes from the Italy Milan operations as reported in the quarterly Sales Report:</w:t>
      </w:r>
    </w:p>
    <w:p>
      <w:pPr>
        <w:numPr>
          <w:ilvl w:val="0"/>
          <w:numId w:val="1001"/>
        </w:numPr>
        <w:pStyle w:val="Compact"/>
      </w:pPr>
      <w:r>
        <w:rPr>
          <w:bCs/>
          <w:b/>
        </w:rPr>
        <w:t xml:space="preserve">New Client Acquisition (Italy Milan):</w:t>
      </w:r>
      <w:r>
        <w:t xml:space="preserve"> </w:t>
      </w:r>
      <w:r>
        <w:t xml:space="preserve">112 new high-net-worth individuals and 38 corporate accounts opened, representing a 22% increase over Q2. This growth was spearheaded by our Banker network executing tailored value propositions for Milanese SMEs in fashion, manufacturing, and logistics sectors.</w:t>
      </w:r>
    </w:p>
    <w:p>
      <w:pPr>
        <w:numPr>
          <w:ilvl w:val="0"/>
          <w:numId w:val="1001"/>
        </w:numPr>
        <w:pStyle w:val="Compact"/>
      </w:pPr>
      <w:r>
        <w:rPr>
          <w:bCs/>
          <w:b/>
        </w:rPr>
        <w:t xml:space="preserve">Portfolio Growth Rate:</w:t>
      </w:r>
      <w:r>
        <w:t xml:space="preserve"> </w:t>
      </w:r>
      <w:r>
        <w:t xml:space="preserve">Managed assets reached €1.84 billion (up 18.7% YoY), with the Milan hub contributing 63% of total Italian portfolio growth. The Sales Report attributes this to our Bankers' proactive cross-selling of wealth management and trade finance solutions.</w:t>
      </w:r>
    </w:p>
    <w:p>
      <w:pPr>
        <w:numPr>
          <w:ilvl w:val="0"/>
          <w:numId w:val="1001"/>
        </w:numPr>
        <w:pStyle w:val="Compact"/>
      </w:pPr>
      <w:r>
        <w:rPr>
          <w:bCs/>
          <w:b/>
        </w:rPr>
        <w:t xml:space="preserve">Cross-Sell Success Rate:</w:t>
      </w:r>
      <w:r>
        <w:t xml:space="preserve"> </w:t>
      </w:r>
      <w:r>
        <w:t xml:space="preserve">Average of 3.2 additional products per client, up from 2.7 in Q2. This metric directly correlates with Banker engagement depth – clients assigned to dedicated Bankers showed 41% higher product uptake.</w:t>
      </w:r>
    </w:p>
    <w:p>
      <w:pPr>
        <w:numPr>
          <w:ilvl w:val="0"/>
          <w:numId w:val="1001"/>
        </w:numPr>
        <w:pStyle w:val="Compact"/>
      </w:pPr>
      <w:r>
        <w:rPr>
          <w:bCs/>
          <w:b/>
        </w:rPr>
        <w:t xml:space="preserve">Client Retention Rate (Italy Milan):</w:t>
      </w:r>
      <w:r>
        <w:t xml:space="preserve"> </w:t>
      </w:r>
      <w:r>
        <w:t xml:space="preserve">Achieved an exceptional 96.8%, far exceeding the industry benchmark of 89%. The Sales Report identifies consistent, in-person relationship management by our Banker as the key differentiator in retaining Milanese clientele.</w:t>
      </w:r>
    </w:p>
    <w:bookmarkEnd w:id="22"/>
    <w:bookmarkStart w:id="23" w:name="Xd5e36abf2b3af1c7acb8b18518e172278cae307"/>
    <w:p>
      <w:pPr>
        <w:pStyle w:val="Heading2"/>
      </w:pPr>
      <w:r>
        <w:t xml:space="preserve">Strategic Insights: The Banker's Critical Role in Italy Milan</w:t>
      </w:r>
    </w:p>
    <w:p>
      <w:pPr>
        <w:pStyle w:val="FirstParagraph"/>
      </w:pPr>
      <w:r>
        <w:t xml:space="preserve">The Q3 Sales Report unequivocally demonstrates that the individual Banker is the single most influential factor in our Italy Milan success story. Unlike transactional models, our approach relies on relationship-driven banking where each Banker builds trust through:</w:t>
      </w:r>
    </w:p>
    <w:p>
      <w:pPr>
        <w:numPr>
          <w:ilvl w:val="0"/>
          <w:numId w:val="1002"/>
        </w:numPr>
        <w:pStyle w:val="Compact"/>
      </w:pPr>
      <w:r>
        <w:rPr>
          <w:bCs/>
          <w:b/>
        </w:rPr>
        <w:t xml:space="preserve">Local Market Expertise:</w:t>
      </w:r>
      <w:r>
        <w:t xml:space="preserve"> </w:t>
      </w:r>
      <w:r>
        <w:t xml:space="preserve">Deep knowledge of Milan's economic clusters (e.g., Porta Nuova business district, Brera creative hub).</w:t>
      </w:r>
    </w:p>
    <w:p>
      <w:pPr>
        <w:numPr>
          <w:ilvl w:val="0"/>
          <w:numId w:val="1002"/>
        </w:numPr>
        <w:pStyle w:val="Compact"/>
      </w:pPr>
      <w:r>
        <w:rPr>
          <w:bCs/>
          <w:b/>
        </w:rPr>
        <w:t xml:space="preserve">Cultural Fluency:</w:t>
      </w:r>
      <w:r>
        <w:t xml:space="preserve"> </w:t>
      </w:r>
      <w:r>
        <w:t xml:space="preserve">Understanding nuanced Italian business etiquette and decision-making processes.</w:t>
      </w:r>
    </w:p>
    <w:p>
      <w:pPr>
        <w:numPr>
          <w:ilvl w:val="0"/>
          <w:numId w:val="1002"/>
        </w:numPr>
        <w:pStyle w:val="Compact"/>
      </w:pPr>
      <w:r>
        <w:rPr>
          <w:bCs/>
          <w:b/>
        </w:rPr>
        <w:t xml:space="preserve">Proactive Engagement:</w:t>
      </w:r>
      <w:r>
        <w:t xml:space="preserve"> </w:t>
      </w:r>
      <w:r>
        <w:t xml:space="preserve">Initiating quarterly strategy sessions rather than waiting for client requests.</w:t>
      </w:r>
    </w:p>
    <w:p>
      <w:pPr>
        <w:pStyle w:val="FirstParagraph"/>
      </w:pPr>
      <w:r>
        <w:t xml:space="preserve">The Sales Report data shows Bankers who conducted 4+ in-person meetings per quarter achieved 2.3x higher client satisfaction scores (92.5 vs. 78.1) and generated €48k more in average revenue per client than those relying on digital channels alone.</w:t>
      </w:r>
    </w:p>
    <w:bookmarkEnd w:id="23"/>
    <w:bookmarkStart w:id="24" w:name="X1ac2b50eb2f427729418fe67ed99e1cb985d7ee"/>
    <w:p>
      <w:pPr>
        <w:pStyle w:val="Heading2"/>
      </w:pPr>
      <w:r>
        <w:t xml:space="preserve">Challenges &amp; Strategic Recommendations for Italy Milan</w:t>
      </w:r>
    </w:p>
    <w:p>
      <w:pPr>
        <w:pStyle w:val="FirstParagraph"/>
      </w:pPr>
      <w:r>
        <w:t xml:space="preserve">While results are strong, the Sales Report identifies critical challenges requiring focused attention:</w:t>
      </w:r>
    </w:p>
    <w:p>
      <w:pPr>
        <w:numPr>
          <w:ilvl w:val="0"/>
          <w:numId w:val="1003"/>
        </w:numPr>
        <w:pStyle w:val="Compact"/>
      </w:pPr>
      <w:r>
        <w:rPr>
          <w:bCs/>
          <w:b/>
        </w:rPr>
        <w:t xml:space="preserve">Regulatory Complexity:</w:t>
      </w:r>
      <w:r>
        <w:t xml:space="preserve"> </w:t>
      </w:r>
      <w:r>
        <w:t xml:space="preserve">Evolving EU MiFID II requirements demand enhanced compliance training for all Bankers operating in Italy Milan. Recommendation: Implement mandatory quarterly regulatory update workshops specific to Lombardy.</w:t>
      </w:r>
    </w:p>
    <w:p>
      <w:pPr>
        <w:numPr>
          <w:ilvl w:val="0"/>
          <w:numId w:val="1003"/>
        </w:numPr>
        <w:pStyle w:val="Compact"/>
      </w:pPr>
      <w:r>
        <w:rPr>
          <w:bCs/>
          <w:b/>
        </w:rPr>
        <w:t xml:space="preserve">Competitive Pressure:</w:t>
      </w:r>
      <w:r>
        <w:t xml:space="preserve"> </w:t>
      </w:r>
      <w:r>
        <w:t xml:space="preserve">Rivals like Intesa Sanpaolo have intensified corporate banking campaigns targeting Milan's industrial sector. Recommendation: Develop specialized industry vertical teams (e.g., "Milan Fashion &amp; Luxury Banking") with dedicated Bankers.</w:t>
      </w:r>
    </w:p>
    <w:p>
      <w:pPr>
        <w:numPr>
          <w:ilvl w:val="0"/>
          <w:numId w:val="1003"/>
        </w:numPr>
        <w:pStyle w:val="Compact"/>
      </w:pPr>
      <w:r>
        <w:rPr>
          <w:bCs/>
          <w:b/>
        </w:rPr>
        <w:t xml:space="preserve">Talent Retention:</w:t>
      </w:r>
      <w:r>
        <w:t xml:space="preserve"> </w:t>
      </w:r>
      <w:r>
        <w:t xml:space="preserve">High demand for experienced Bankers in Italy Milan has increased attrition risk. Recommendation: Launch a "Milan Star Banker" program with accelerated career paths and market-competitive incentives.</w:t>
      </w:r>
    </w:p>
    <w:bookmarkEnd w:id="24"/>
    <w:bookmarkStart w:id="25" w:name="X63e056b539fbbc90c05920e3b9cb5caaddd256d"/>
    <w:p>
      <w:pPr>
        <w:pStyle w:val="Heading2"/>
      </w:pPr>
      <w:r>
        <w:t xml:space="preserve">Q4 Action Plan: Optimizing the Sales Report for Italy Milan</w:t>
      </w:r>
    </w:p>
    <w:p>
      <w:pPr>
        <w:pStyle w:val="FirstParagraph"/>
      </w:pPr>
      <w:r>
        <w:t xml:space="preserve">Based on this Sales Report, the following initiatives are mandated for our Banker teams in Italy Milan:</w:t>
      </w:r>
    </w:p>
    <w:p>
      <w:pPr>
        <w:numPr>
          <w:ilvl w:val="0"/>
          <w:numId w:val="1004"/>
        </w:numPr>
        <w:pStyle w:val="Compact"/>
      </w:pPr>
      <w:r>
        <w:rPr>
          <w:bCs/>
          <w:b/>
        </w:rPr>
        <w:t xml:space="preserve">Hyper-Local Client Mapping:</w:t>
      </w:r>
      <w:r>
        <w:t xml:space="preserve"> </w:t>
      </w:r>
      <w:r>
        <w:t xml:space="preserve">Each Banker will create detailed profiles of clients' industry clusters within Italy Milan by November 30. (e.g., "Fashion District Suppliers," "Porta Nuova Tech Startups").</w:t>
      </w:r>
    </w:p>
    <w:p>
      <w:pPr>
        <w:numPr>
          <w:ilvl w:val="0"/>
          <w:numId w:val="1004"/>
        </w:numPr>
        <w:pStyle w:val="Compact"/>
      </w:pPr>
      <w:r>
        <w:rPr>
          <w:bCs/>
          <w:b/>
        </w:rPr>
        <w:t xml:space="preserve">Personalized Value Propositions:</w:t>
      </w:r>
      <w:r>
        <w:t xml:space="preserve"> </w:t>
      </w:r>
      <w:r>
        <w:t xml:space="preserve">Development of sector-specific solution packages tailored to Milan's economic drivers.</w:t>
      </w:r>
    </w:p>
    <w:p>
      <w:pPr>
        <w:numPr>
          <w:ilvl w:val="0"/>
          <w:numId w:val="1004"/>
        </w:numPr>
        <w:pStyle w:val="Compact"/>
      </w:pPr>
      <w:r>
        <w:rPr>
          <w:bCs/>
          <w:b/>
        </w:rPr>
        <w:t xml:space="preserve">Client Advisory Councils:</w:t>
      </w:r>
      <w:r>
        <w:t xml:space="preserve"> </w:t>
      </w:r>
      <w:r>
        <w:t xml:space="preserve">Quarterly roundtables with top 20 clients in Italy Milan, facilitated by senior Bankers, to co-create future offerings.</w:t>
      </w:r>
    </w:p>
    <w:p>
      <w:pPr>
        <w:pStyle w:val="FirstParagraph"/>
      </w:pPr>
      <w:r>
        <w:t xml:space="preserve">The Q4 Sales Report will track the impact of these initiatives, measuring their contribution to both new business acquisition and deepened client relationships within the Italy Milan market. Crucially, we will benchmark all outcomes against our core metric:</w:t>
      </w:r>
      <w:r>
        <w:t xml:space="preserve"> </w:t>
      </w:r>
      <w:r>
        <w:t xml:space="preserve">Banker</w:t>
      </w:r>
      <w:r>
        <w:t xml:space="preserve"> </w:t>
      </w:r>
      <w:r>
        <w:t xml:space="preserve">effectiveness in generating sustainable revenue growth.</w:t>
      </w:r>
    </w:p>
    <w:p>
      <w:pPr>
        <w:pStyle w:val="BodyText"/>
      </w:pPr>
      <w:r>
        <w:t xml:space="preserve">In conclusion, this Sales Report affirms that success in the demanding Italy Milan banking environment is inseparable from exceptional relationship management executed by our dedicated Banker network. The data clearly shows that when our Bankers leverage deep local market knowledge and prioritize personalized engagement, the results – measured in portfolio growth, client retention, and cross-sell velocity – consistently surpass regional benchmarks. As we move into Q4, our focus on empowering each Banker to deliver unmatched value within Italy Milan remains the cornerstone of our sales strategy.</w:t>
      </w:r>
    </w:p>
    <w:p>
      <w:pPr>
        <w:pStyle w:val="BodyText"/>
      </w:pPr>
      <w:r>
        <w:t xml:space="preserve">Mellon &amp; Partners Financial Services | Confidential: For Internal Use Only</w:t>
      </w:r>
    </w:p>
    <w:p>
      <w:pPr>
        <w:pStyle w:val="BodyText"/>
      </w:pPr>
      <w:r>
        <w:t xml:space="preserve">© 2023 Mellon &amp; Partners. All rights reserved. This Sales Report reflects Q3 performance data for Italy Milan banking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Italy Milan</dc:title>
  <dc:creator/>
  <dc:language>en</dc:language>
  <cp:keywords/>
  <dcterms:created xsi:type="dcterms:W3CDTF">2026-07-23T18:19:05Z</dcterms:created>
  <dcterms:modified xsi:type="dcterms:W3CDTF">2026-07-23T18:19:05Z</dcterms:modified>
</cp:coreProperties>
</file>

<file path=docProps/custom.xml><?xml version="1.0" encoding="utf-8"?>
<Properties xmlns="http://schemas.openxmlformats.org/officeDocument/2006/custom-properties" xmlns:vt="http://schemas.openxmlformats.org/officeDocument/2006/docPropsVTypes"/>
</file>