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Banking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7" w:name="X0f9c01691909ae3de759909cf40b8e2f359a044"/>
    <w:p>
      <w:pPr>
        <w:pStyle w:val="Heading1"/>
      </w:pPr>
      <w:r>
        <w:t xml:space="preserve">Comprehensive Sales Report: Strategic Performance Analysis for Banking Operations in Italy Rome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Banca Nazionale d'Italia - Rome Branch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Sales Performance Division, Italy Rome Banking Unit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Q3 2023 performance metrics of our banking operations in the dynamic financial hub of Italy Rome. As a premier Banker serving Rome's sophisticated commercial and retail markets, our team achieved remarkable growth across key product lines while navigating Italy's evolving economic landscape. The report confirms that strategic client-centric approaches in Italy Rome have positioned us as a top-tier banking partner for both corporate entities and high-net-worth individuals, with revenue growth of 14.7% year-over-year. This document serves as both an accountability framework and a roadmap for sustaining momentum in one of Europe's most competitive banking markets.</w:t>
      </w:r>
    </w:p>
    <w:bookmarkEnd w:id="20"/>
    <w:bookmarkStart w:id="21" w:name="X5b1807b5a11097ff629f9e6ac29c2207b99ea9a"/>
    <w:p>
      <w:pPr>
        <w:pStyle w:val="Heading2"/>
      </w:pPr>
      <w:r>
        <w:t xml:space="preserve">II. Key Sales Metrics: Italy Rome Market Performance</w:t>
      </w:r>
    </w:p>
    <w:p>
      <w:pPr>
        <w:pStyle w:val="FirstParagraph"/>
      </w:pPr>
      <w:r>
        <w:t xml:space="preserve">The Rome branch delivered exceptional results across all core sales channels, demonstrating deep market penetration: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Lending:</w:t>
      </w:r>
      <w:r>
        <w:t xml:space="preserve"> </w:t>
      </w:r>
      <w:r>
        <w:t xml:space="preserve">€185 million in new commercial loans (up 22% YoY), primarily servicing Rome-based hospitality, real estate, and renewable energy firms.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Private Banking:</w:t>
      </w:r>
      <w:r>
        <w:t xml:space="preserve"> </w:t>
      </w:r>
      <w:r>
        <w:t xml:space="preserve">Acquisition of 37 new HNWIs with a collective portfolio value exceeding €420 million. The Rome branch now manages 68% of the region's top-tier private banking assets.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Retail Deposit Growth:</w:t>
      </w:r>
      <w:r>
        <w:t xml:space="preserve"> </w:t>
      </w:r>
      <w:r>
        <w:t xml:space="preserve">Net new deposits reached €98 million, driven by premium savings products tailored for Rome's affluent demographic. Customer acquisition cost decreased by 18% through localized digital campaigns.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Cross-Sell Ratio:</w:t>
      </w:r>
      <w:r>
        <w:t xml:space="preserve"> </w:t>
      </w:r>
      <w:r>
        <w:t xml:space="preserve">Achieved 3.2 products per active client (vs. industry average of 1.8), reflecting deep relationship management in Italy Rome.</w:t>
      </w:r>
    </w:p>
    <w:bookmarkEnd w:id="21"/>
    <w:bookmarkStart w:id="22" w:name="X5671ae78c7d071a876b0757d4b547a574737ad3"/>
    <w:p>
      <w:pPr>
        <w:pStyle w:val="Heading2"/>
      </w:pPr>
      <w:r>
        <w:t xml:space="preserve">III. Market Context: Banking Landscape in Rome</w:t>
      </w:r>
    </w:p>
    <w:p>
      <w:pPr>
        <w:pStyle w:val="FirstParagraph"/>
      </w:pPr>
      <w:r>
        <w:t xml:space="preserve">Rome's banking ecosystem presents unique opportunities and complexities that require specialized Sales Report analysis. As the heart of Italy's financial sector, Rome accounts for 34% of national commercial banking activity (Banca d'Italia, Q2 2023). The current environment is characterized by: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Evolution:</w:t>
      </w:r>
      <w:r>
        <w:t xml:space="preserve"> </w:t>
      </w:r>
      <w:r>
        <w:t xml:space="preserve">New MiFID II implementations requiring enhanced client risk profiling for our Banker operations.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Shifts:</w:t>
      </w:r>
      <w:r>
        <w:t xml:space="preserve"> </w:t>
      </w:r>
      <w:r>
        <w:t xml:space="preserve">Post-pandemic recovery driving demand for sustainable finance solutions among Rome's luxury retail and tourism sectors.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76% of Rome clients now expect mobile-first banking experiences (McKinsey, Italy Banking Survey 2023).</w:t>
      </w:r>
    </w:p>
    <w:p>
      <w:pPr>
        <w:pStyle w:val="FirstParagraph"/>
      </w:pPr>
      <w:r>
        <w:t xml:space="preserve">Our Sales Report confirms that our Rome-based Banker team successfully adapted to these conditions through hyper-localized service models. For instance, our "Rome Heritage Program" for historic property owners secured €63 million in bespoke financing – directly addressing a niche market underserved by competitors.</w:t>
      </w:r>
    </w:p>
    <w:bookmarkEnd w:id="22"/>
    <w:bookmarkStart w:id="23" w:name="X47257b20d1cb808423f18410207cccc5c4e9323"/>
    <w:p>
      <w:pPr>
        <w:pStyle w:val="Heading2"/>
      </w:pPr>
      <w:r>
        <w:t xml:space="preserve">IV. Performance Analysis: Why Rome Succeeds</w:t>
      </w:r>
    </w:p>
    <w:p>
      <w:pPr>
        <w:pStyle w:val="FirstParagraph"/>
      </w:pPr>
      <w:r>
        <w:t xml:space="preserve">Two strategic pillars underpin our Sales Report success in Italy Rome: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Our Banker staff underwent intensive training on Roman business etiquette, enabling deeper rapport with local clients. This resulted in a 31% reduction in client churn among long-term relationships.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 Product Innovation:</w:t>
      </w:r>
      <w:r>
        <w:t xml:space="preserve"> </w:t>
      </w:r>
      <w:r>
        <w:t xml:space="preserve">Development of "Rome Pass" suite (travel finance, cultural institution partnerships, and visa-assistance services) generated €28 million in new revenue streams within six months.</w:t>
      </w:r>
    </w:p>
    <w:p>
      <w:pPr>
        <w:pStyle w:val="FirstParagraph"/>
      </w:pPr>
      <w:r>
        <w:t xml:space="preserve">The data shows Rome's commercial segment responded most strongly to our personalized approach. A client satisfaction survey revealed 94% of Rome-based corporate clients rated our Banker relationship as "exceptional" – far exceeding the national average of 78%.</w:t>
      </w:r>
    </w:p>
    <w:bookmarkEnd w:id="23"/>
    <w:bookmarkStart w:id="24" w:name="X0d1fa5971974a76c24f9dac191c196e2245dd96"/>
    <w:p>
      <w:pPr>
        <w:pStyle w:val="Heading2"/>
      </w:pPr>
      <w:r>
        <w:t xml:space="preserve">V. Critical Challenges in Italy Rome Market</w:t>
      </w:r>
    </w:p>
    <w:p>
      <w:pPr>
        <w:pStyle w:val="FirstParagraph"/>
      </w:pPr>
      <w:r>
        <w:t xml:space="preserve">Our Sales Report identifies three persistent challenges requiring strategic intervention: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Competition from Neobanks:</w:t>
      </w:r>
      <w:r>
        <w:t xml:space="preserve"> </w:t>
      </w:r>
      <w:r>
        <w:t xml:space="preserve">Digital-only banks captured 15% of Rome's retail deposit market, primarily among younger demographics. Our sales data shows a 20% decline in millennial client acquisition (Q1-Q3 2023).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Volatility:</w:t>
      </w:r>
      <w:r>
        <w:t xml:space="preserve"> </w:t>
      </w:r>
      <w:r>
        <w:t xml:space="preserve">Rising energy costs impacted tourism clients' creditworthiness, requiring revised underwriting criteria for Rome's hospitality sector.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 Burden:</w:t>
      </w:r>
      <w:r>
        <w:t xml:space="preserve"> </w:t>
      </w:r>
      <w:r>
        <w:t xml:space="preserve">Increased reporting requirements for EU banking regulations consumed 12% of our Banker team's operational time in Q3.</w:t>
      </w:r>
    </w:p>
    <w:bookmarkEnd w:id="24"/>
    <w:bookmarkStart w:id="25" w:name="X2da289c447ce6b8533bc214be7c3cc94f97cc45"/>
    <w:p>
      <w:pPr>
        <w:pStyle w:val="Heading2"/>
      </w:pPr>
      <w:r>
        <w:t xml:space="preserve">VI. Strategic Recommendations for Italy Rome Sales Growth</w:t>
      </w:r>
    </w:p>
    <w:p>
      <w:pPr>
        <w:pStyle w:val="FirstParagraph"/>
      </w:pPr>
      <w:r>
        <w:t xml:space="preserve">To maintain leadership in the Rome banking market, we recommend these targeted initiatives: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Millennial Engagement Program:</w:t>
      </w:r>
      <w:r>
        <w:t xml:space="preserve"> </w:t>
      </w:r>
      <w:r>
        <w:t xml:space="preserve">Launch "Rome Future Leaders" digital platform with AI-driven financial coaching for 25-35 year-olds (target: acquire 1,200 new clients by Q2 2024).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Finance Acceleration:</w:t>
      </w:r>
      <w:r>
        <w:t xml:space="preserve"> </w:t>
      </w:r>
      <w:r>
        <w:t xml:space="preserve">Partner with Rome's Green Economy Association to develop ESG-compliant loan products for local artisans and eco-tourism businesses (projected revenue: €35M by 2024).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Efficiency Task Force:</w:t>
      </w:r>
      <w:r>
        <w:t xml:space="preserve"> </w:t>
      </w:r>
      <w:r>
        <w:t xml:space="preserve">Dedicate 15% of sales team capacity to compliance automation, freeing up 200+ annual hours for client engagement.</w:t>
      </w:r>
    </w:p>
    <w:bookmarkEnd w:id="25"/>
    <w:bookmarkStart w:id="26" w:name="vii.-conclusion-the-rome-advantage"/>
    <w:p>
      <w:pPr>
        <w:pStyle w:val="Heading2"/>
      </w:pPr>
      <w:r>
        <w:t xml:space="preserve">VII. Conclusion: The Rome Advantage</w:t>
      </w:r>
    </w:p>
    <w:p>
      <w:pPr>
        <w:pStyle w:val="FirstParagraph"/>
      </w:pPr>
      <w:r>
        <w:t xml:space="preserve">This Sales Report unequivocally demonstrates that our Banker operations in Italy Rome have established a formidable competitive edge through culturally attuned service and innovative product design. The Rome branch's 14.7% YoY revenue growth outpaces both national banking averages (4.3%) and key competitors' Rome performance (8.1%).</w:t>
      </w:r>
    </w:p>
    <w:p>
      <w:pPr>
        <w:pStyle w:val="BodyText"/>
      </w:pPr>
      <w:r>
        <w:t xml:space="preserve">As we look ahead, the integration of Roman business traditions with cutting-edge financial solutions will remain paramount for our Sales Report success. Italy Rome isn't just a market – it's the nerve center of our Italian growth strategy, where relationship depth trumps transaction volume. The path forward requires doubling down on localized expertise: training every Banker to understand Rome's unique economic rhythms, from Vatican-related transactions to Trastevere artisan collaborations.</w:t>
      </w:r>
    </w:p>
    <w:p>
      <w:pPr>
        <w:pStyle w:val="BodyText"/>
      </w:pPr>
      <w:r>
        <w:t xml:space="preserve">With strategic implementation of these recommendations, we project 18-22% annual growth for the Rome branch by Q4 2024. This will solidify our position as Italy's most trusted banking partner – not merely serving Rome, but actively shaping its financial future. The Sales Report concludes that success in Italy Rome demands more than standard banking; it requires becoming an integral part of Roma's economic tapestry.</w:t>
      </w:r>
    </w:p>
    <w:p>
      <w:pPr>
        <w:pStyle w:val="BodyText"/>
      </w:pPr>
      <w:r>
        <w:rPr>
          <w:bCs/>
          <w:b/>
        </w:rPr>
        <w:t xml:space="preserve">Appendix:</w:t>
      </w:r>
      <w:r>
        <w:t xml:space="preserve"> </w:t>
      </w:r>
      <w:r>
        <w:t xml:space="preserve">Full data tables and client satisfaction metrics available upon request via the Banca Nazionale d'Italia Rome Internal Portal.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204">
    <w:nsid w:val="A99204"/>
    <w:multiLevelType w:val="multilevel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Banking Performance in Italy Rome</dc:title>
  <dc:creator/>
  <dc:language>en</dc:language>
  <cp:keywords/>
  <dcterms:created xsi:type="dcterms:W3CDTF">2026-07-21T05:50:49Z</dcterms:created>
  <dcterms:modified xsi:type="dcterms:W3CDTF">2026-07-21T05:50:49Z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