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5ef458cb2905e93fe2cb2de45195fe757602a2"/>
    <w:p>
      <w:pPr>
        <w:pStyle w:val="Heading1"/>
      </w:pPr>
      <w:r>
        <w:t xml:space="preserve">Comprehensive Sales Report: Banking Operations and Market Performance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Banking Division</w:t>
      </w:r>
      <w:r>
        <w:br/>
      </w:r>
      <w:r>
        <w:rPr>
          <w:bCs/>
          <w:b/>
        </w:rPr>
        <w:t xml:space="preserve">Prepared By:</w:t>
      </w:r>
      <w:r>
        <w:t xml:space="preserve"> </w:t>
      </w:r>
      <w:r>
        <w:t xml:space="preserve">Sales Strategy Department - Ivory Coast Operations</w:t>
      </w:r>
    </w:p>
    <w:bookmarkStart w:id="20" w:name="executive-summary"/>
    <w:p>
      <w:pPr>
        <w:pStyle w:val="Heading2"/>
      </w:pPr>
      <w:r>
        <w:t xml:space="preserve">Executive Summary</w:t>
      </w:r>
    </w:p>
    <w:p>
      <w:pPr>
        <w:pStyle w:val="FirstParagraph"/>
      </w:pPr>
      <w:r>
        <w:t xml:space="preserve">This Sales Report provides an in-depth analysis of banking performance across the Ivory Coast Abidjan market for Q3 2023. As a pivotal financial hub in West Africa, Abidjan demands exceptional banking expertise from every Banker operating within its dynamic ecosystem. The report confirms a 14.7% year-over-year growth in transaction volumes and demonstrates how strategic customer-centric approaches by our Banker team have positioned us as market leaders in Ivory Coast Abidjan's competitive landscape.</w:t>
      </w:r>
    </w:p>
    <w:bookmarkEnd w:id="20"/>
    <w:bookmarkStart w:id="21" w:name="Xc69aaf0a173aa53f90a9a940ab2056662705404"/>
    <w:p>
      <w:pPr>
        <w:pStyle w:val="Heading2"/>
      </w:pPr>
      <w:r>
        <w:t xml:space="preserve">Market Context: Ivory Coast Abidjan as Banking Frontier</w:t>
      </w:r>
    </w:p>
    <w:p>
      <w:pPr>
        <w:pStyle w:val="FirstParagraph"/>
      </w:pPr>
      <w:r>
        <w:t xml:space="preserve">Ivory Coast Abidjan remains Africa's third-largest financial center, driving 45% of West Africa's banking activity. With a GDP growth rate of 6.8% in 2023 and a rapidly expanding middle class, the Ivory Coast Abidjan market presents unparalleled opportunities for banking innovation. Our Banker team has strategically navigated this environment by aligning with national development priorities—particularly in agriculture finance and SME support—to capture significant market share. The success of our sales initiatives directly correlates to deep understanding of Abidjan's unique economic rhythms, from the bustling markets of Plateau to the industrial zones near Bingerville.</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New Client Acquisition (Individual)</w:t>
      </w:r>
    </w:p>
    <w:p>
      <w:pPr>
        <w:pStyle w:val="BodyText"/>
      </w:pPr>
      <w:r>
        <w:t xml:space="preserve">1,487</w:t>
      </w:r>
    </w:p>
    <w:p>
      <w:pPr>
        <w:pStyle w:val="BodyText"/>
      </w:pPr>
      <w:r>
        <w:t xml:space="preserve">1,156</w:t>
      </w:r>
    </w:p>
    <w:p>
      <w:pPr>
        <w:pStyle w:val="BodyText"/>
      </w:pPr>
      <w:r>
        <w:t xml:space="preserve">28.6%</w:t>
      </w:r>
    </w:p>
    <w:p>
      <w:pPr>
        <w:pStyle w:val="BodyText"/>
      </w:pPr>
      <w:r>
        <w:t xml:space="preserve">SME Portfolio Growth</w:t>
      </w:r>
    </w:p>
    <w:p>
      <w:pPr>
        <w:pStyle w:val="BodyText"/>
      </w:pPr>
      <w:r>
        <w:t xml:space="preserve">$23.7M</w:t>
      </w:r>
    </w:p>
    <w:p>
      <w:pPr>
        <w:pStyle w:val="BodyText"/>
      </w:pPr>
      <w:r>
        <w:t xml:space="preserve">$17.9M</w:t>
      </w:r>
    </w:p>
    <w:p>
      <w:pPr>
        <w:pStyle w:val="BodyText"/>
      </w:pPr>
      <w:r>
        <w:t xml:space="preserve">32.4%</w:t>
      </w:r>
    </w:p>
    <w:p>
      <w:pPr>
        <w:pStyle w:val="BodyText"/>
      </w:pPr>
      <w:r>
        <w:t xml:space="preserve">Total Transaction Volume (Abidjan Region)</w:t>
      </w:r>
    </w:p>
    <w:p>
      <w:pPr>
        <w:pStyle w:val="BodyText"/>
      </w:pPr>
      <w:r>
        <w:t xml:space="preserve">Mobile Banking Transactions</w:t>
      </w:r>
    </w:p>
    <w:p>
      <w:pPr>
        <w:pStyle w:val="BodyText"/>
      </w:pPr>
      <w:r>
        <w:t xml:space="preserve">1,852,000</w:t>
      </w:r>
    </w:p>
    <w:p>
      <w:pPr>
        <w:pStyle w:val="BodyText"/>
      </w:pPr>
      <w:r>
        <w:t xml:space="preserve">1,398,500</w:t>
      </w:r>
    </w:p>
    <w:p>
      <w:pPr>
        <w:pStyle w:val="BodyText"/>
      </w:pPr>
      <w:r>
        <w:t xml:space="preserve">32.4%</w:t>
      </w:r>
    </w:p>
    <w:p>
      <w:pPr>
        <w:pStyle w:val="BodyText"/>
      </w:pPr>
      <w:r>
        <w:t xml:space="preserve">Customer Satisfaction Score (CSAT)</w:t>
      </w:r>
    </w:p>
    <w:p>
      <w:pPr>
        <w:pStyle w:val="BodyText"/>
      </w:pPr>
      <w:r>
        <w:t xml:space="preserve">Average Rating (Abidjan)</w:t>
      </w:r>
    </w:p>
    <w:p>
      <w:pPr>
        <w:pStyle w:val="BodyText"/>
      </w:pPr>
      <w:r>
        <w:t xml:space="preserve">&lt;</w:t>
      </w:r>
    </w:p>
    <w:p>
      <w:pPr>
        <w:pStyle w:val="BodyText"/>
      </w:pPr>
      <w:r>
        <w:t xml:space="preserve">4.7/5.0</w:t>
      </w:r>
    </w:p>
    <w:p>
      <w:pPr>
        <w:pStyle w:val="BodyText"/>
      </w:pPr>
      <w:r>
        <w:t xml:space="preserve">4.3/5.0</w:t>
      </w:r>
    </w:p>
    <w:p>
      <w:pPr>
        <w:pStyle w:val="BodyText"/>
      </w:pPr>
      <w:r>
        <w:t xml:space="preserve">+9.3%</w:t>
      </w:r>
    </w:p>
    <w:p>
      <w:pPr>
        <w:pStyle w:val="BodyText"/>
      </w:pPr>
      <w:r>
        <w:t xml:space="preserve">The Sales Report underscores that our Banker team achieved these results through hyper-localized service models tailored to Ivory Coast Abidjan's cultural nuances. For instance, the introduction of "AgriBank" services—offering crop-cycle financing in local languages—resulted in 38% new rural client acquisition. This strategic focus directly contributed to our position as top provider for agricultural credit in Abidjan.</w:t>
      </w:r>
    </w:p>
    <w:bookmarkEnd w:id="22"/>
    <w:bookmarkStart w:id="23" w:name="key-sales-successes-the-banker-advantage"/>
    <w:p>
      <w:pPr>
        <w:pStyle w:val="Heading2"/>
      </w:pPr>
      <w:r>
        <w:t xml:space="preserve">Key Sales Successes: The Banker Advantage</w:t>
      </w:r>
    </w:p>
    <w:p>
      <w:pPr>
        <w:pStyle w:val="FirstParagraph"/>
      </w:pPr>
      <w:r>
        <w:t xml:space="preserve">Three initiatives exemplify how our Banker expertise translated into market leadership:</w:t>
      </w:r>
    </w:p>
    <w:p>
      <w:pPr>
        <w:numPr>
          <w:ilvl w:val="0"/>
          <w:numId w:val="1001"/>
        </w:numPr>
        <w:pStyle w:val="Compact"/>
      </w:pPr>
      <w:r>
        <w:rPr>
          <w:bCs/>
          <w:b/>
        </w:rPr>
        <w:t xml:space="preserve">Cross-Selling Excellence:</w:t>
      </w:r>
      <w:r>
        <w:t xml:space="preserve"> </w:t>
      </w:r>
      <w:r>
        <w:t xml:space="preserve">Our Banker team achieved 76% cross-sell success rate on premium services (wealth management, trade finance), surpassing regional benchmarks by 22%. This was enabled through data-driven customer profiling reflecting Abidjan's evolving economic segments.</w:t>
      </w:r>
    </w:p>
    <w:p>
      <w:pPr>
        <w:numPr>
          <w:ilvl w:val="0"/>
          <w:numId w:val="1001"/>
        </w:numPr>
        <w:pStyle w:val="Compact"/>
      </w:pPr>
      <w:r>
        <w:rPr>
          <w:bCs/>
          <w:b/>
        </w:rPr>
        <w:t xml:space="preserve">Community Banking Partnerships:</w:t>
      </w:r>
      <w:r>
        <w:t xml:space="preserve"> </w:t>
      </w:r>
      <w:r>
        <w:t xml:space="preserve">By embedding Banker staff within 17 key Abidjan associations (including the Chamber of Commerce and Women's Entrepreneurship Network), we generated 43% of new SME clients through trusted referrals—proving community integration drives sales.</w:t>
      </w:r>
    </w:p>
    <w:p>
      <w:pPr>
        <w:numPr>
          <w:ilvl w:val="0"/>
          <w:numId w:val="1001"/>
        </w:numPr>
        <w:pStyle w:val="Compact"/>
      </w:pPr>
      <w:r>
        <w:rPr>
          <w:bCs/>
          <w:b/>
        </w:rPr>
        <w:t xml:space="preserve">Digital Transformation Impact:</w:t>
      </w:r>
      <w:r>
        <w:t xml:space="preserve"> </w:t>
      </w:r>
      <w:r>
        <w:t xml:space="preserve">The "Abidjan Digital Banking Hub" initiative reduced onboarding time by 65%, directly increasing client conversion rates. This platform, co-developed with local fintechs, now serves 78% of our Abidjan customer base.</w:t>
      </w:r>
    </w:p>
    <w:bookmarkEnd w:id="23"/>
    <w:bookmarkStart w:id="24" w:name="X620f3bb1fa18fe7c9931766a7fb1928ce466a4d"/>
    <w:p>
      <w:pPr>
        <w:pStyle w:val="Heading2"/>
      </w:pPr>
      <w:r>
        <w:t xml:space="preserve">Challenges in the Ivory Coast Abidjan Market</w:t>
      </w:r>
    </w:p>
    <w:p>
      <w:pPr>
        <w:pStyle w:val="FirstParagraph"/>
      </w:pPr>
      <w:r>
        <w:t xml:space="preserve">Despite growth, our Sales Report identifies critical challenges requiring Banker innovation:</w:t>
      </w:r>
    </w:p>
    <w:p>
      <w:pPr>
        <w:numPr>
          <w:ilvl w:val="0"/>
          <w:numId w:val="1002"/>
        </w:numPr>
        <w:pStyle w:val="Compact"/>
      </w:pPr>
      <w:r>
        <w:rPr>
          <w:bCs/>
          <w:b/>
        </w:rPr>
        <w:t xml:space="preserve">Currency Volatility:</w:t>
      </w:r>
      <w:r>
        <w:t xml:space="preserve"> </w:t>
      </w:r>
      <w:r>
        <w:t xml:space="preserve">The CFA franc's sensitivity to global oil prices necessitates agile financial product adjustments. Our Banker team developed dynamic forex hedging tools that reduced client revenue fluctuations by 29%.</w:t>
      </w:r>
    </w:p>
    <w:p>
      <w:pPr>
        <w:numPr>
          <w:ilvl w:val="0"/>
          <w:numId w:val="1002"/>
        </w:numPr>
        <w:pStyle w:val="Compact"/>
      </w:pPr>
      <w:r>
        <w:rPr>
          <w:bCs/>
          <w:b/>
        </w:rPr>
        <w:t xml:space="preserve">Digital Divide:</w:t>
      </w:r>
      <w:r>
        <w:t xml:space="preserve"> </w:t>
      </w:r>
      <w:r>
        <w:t xml:space="preserve">While urban Abidjan embraced mobile banking, rural areas required physical "Banker outreach vans" serving 14 villages monthly. This initiative secured 1,100 new accounts in underserved communities.</w:t>
      </w:r>
    </w:p>
    <w:p>
      <w:pPr>
        <w:numPr>
          <w:ilvl w:val="0"/>
          <w:numId w:val="1002"/>
        </w:numPr>
        <w:pStyle w:val="Compact"/>
      </w:pPr>
      <w:r>
        <w:rPr>
          <w:bCs/>
          <w:b/>
        </w:rPr>
        <w:t xml:space="preserve">Regulatory Complexity:</w:t>
      </w:r>
      <w:r>
        <w:t xml:space="preserve"> </w:t>
      </w:r>
      <w:r>
        <w:t xml:space="preserve">Navigating Côte d'Ivoire's evolving financial regulations demanded constant Banker training. We implemented quarterly compliance workshops that eliminated regulatory non-compliance incidents by 100%.</w:t>
      </w:r>
    </w:p>
    <w:bookmarkEnd w:id="24"/>
    <w:bookmarkStart w:id="25" w:name="Xb53d3da68a5bae7c1e854f9d68c914cb5c44703"/>
    <w:p>
      <w:pPr>
        <w:pStyle w:val="Heading2"/>
      </w:pPr>
      <w:r>
        <w:t xml:space="preserve">Future Sales Strategy: Scaling the Abidjan Model</w:t>
      </w:r>
    </w:p>
    <w:p>
      <w:pPr>
        <w:pStyle w:val="FirstParagraph"/>
      </w:pPr>
      <w:r>
        <w:t xml:space="preserve">The next phase of our banking strategy in Ivory Coast Abidjan focuses on three pillars:</w:t>
      </w:r>
    </w:p>
    <w:p>
      <w:pPr>
        <w:numPr>
          <w:ilvl w:val="0"/>
          <w:numId w:val="1003"/>
        </w:numPr>
        <w:pStyle w:val="Compact"/>
      </w:pPr>
      <w:r>
        <w:rPr>
          <w:bCs/>
          <w:b/>
        </w:rPr>
        <w:t xml:space="preserve">AI-Powered Customer Journeys:</w:t>
      </w:r>
      <w:r>
        <w:t xml:space="preserve"> </w:t>
      </w:r>
      <w:r>
        <w:t xml:space="preserve">Deploying AI tools to predict client needs based on Abidjan's seasonal economic patterns (e.g., cocoa harvest cycles). This will enable proactive Banker interventions.</w:t>
      </w:r>
    </w:p>
    <w:p>
      <w:pPr>
        <w:numPr>
          <w:ilvl w:val="0"/>
          <w:numId w:val="1003"/>
        </w:numPr>
        <w:pStyle w:val="Compact"/>
      </w:pPr>
      <w:r>
        <w:rPr>
          <w:bCs/>
          <w:b/>
        </w:rPr>
        <w:t xml:space="preserve">Eco-Finance Expansion:</w:t>
      </w:r>
      <w:r>
        <w:t xml:space="preserve"> </w:t>
      </w:r>
      <w:r>
        <w:t xml:space="preserve">Launching green financing products for solar energy projects in Abidjan's peri-urban areas, aligning with Ivory Coast's national sustainability goals.</w:t>
      </w:r>
    </w:p>
    <w:p>
      <w:pPr>
        <w:numPr>
          <w:ilvl w:val="0"/>
          <w:numId w:val="1003"/>
        </w:numPr>
        <w:pStyle w:val="Compact"/>
      </w:pPr>
      <w:r>
        <w:rPr>
          <w:bCs/>
          <w:b/>
        </w:rPr>
        <w:t xml:space="preserve">Talent Development Hub:</w:t>
      </w:r>
      <w:r>
        <w:t xml:space="preserve"> </w:t>
      </w:r>
      <w:r>
        <w:t xml:space="preserve">Establishing a dedicated "Banker Academy" in Abidjan to train local talent in international banking standards, ensuring long-term market relevance.</w:t>
      </w:r>
    </w:p>
    <w:bookmarkEnd w:id="25"/>
    <w:bookmarkStart w:id="26" w:name="X6b6aaf29bb74a54236069b7a77027904617b79e"/>
    <w:p>
      <w:pPr>
        <w:pStyle w:val="Heading2"/>
      </w:pPr>
      <w:r>
        <w:t xml:space="preserve">Conclusion: The Banker as Ivory Coast Abidjan's Financial Catalyst</w:t>
      </w:r>
    </w:p>
    <w:p>
      <w:pPr>
        <w:pStyle w:val="FirstParagraph"/>
      </w:pPr>
      <w:r>
        <w:t xml:space="preserve">This Sales Report confirms that our Banker team has not merely participated in Ivory Coast Abidjan's financial growth—they have catalyzed it. By embedding cultural intelligence into every sales interaction and leveraging technology to serve both urban centers and rural communities, we've transformed the banking experience in Abidjan. Our 2023 performance demonstrates that when a Banker deeply understands local markets like Ivory Coast Abidjan, exceptional sales results become inevitable.</w:t>
      </w:r>
    </w:p>
    <w:p>
      <w:pPr>
        <w:pStyle w:val="BodyText"/>
      </w:pPr>
      <w:r>
        <w:t xml:space="preserve">As we move into 2024, our commitment to maintaining this momentum remains unwavering. Every transaction processed in Abidjan reflects the strategic vision of our Banker teams—the true engine of growth in Ivory Coast's most vibrant financial capital. This Sales Report serves as both a testament to our achievements and a blueprint for sustaining leadership in Ivory Coast Abidjan's ever-evolving banking landscape.</w:t>
      </w:r>
    </w:p>
    <w:p>
      <w:pPr>
        <w:pStyle w:val="BodyText"/>
      </w:pPr>
      <w:r>
        <w:rPr>
          <w:iCs/>
          <w:i/>
        </w:rPr>
        <w:t xml:space="preserve">"In the heart of Ivory Coast Abidjan, where commerce meets culture, our Banker doesn't just sell products—they build financial futures." – Sales Strategy Department,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Ivory Coast Abidjan</dc:title>
  <dc:creator/>
  <dc:language>en</dc:language>
  <cp:keywords/>
  <dcterms:created xsi:type="dcterms:W3CDTF">2026-07-21T05:50:32Z</dcterms:created>
  <dcterms:modified xsi:type="dcterms:W3CDTF">2026-07-21T05:50:32Z</dcterms:modified>
</cp:coreProperties>
</file>

<file path=docProps/custom.xml><?xml version="1.0" encoding="utf-8"?>
<Properties xmlns="http://schemas.openxmlformats.org/officeDocument/2006/custom-properties" xmlns:vt="http://schemas.openxmlformats.org/officeDocument/2006/docPropsVTypes"/>
</file>