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Banking</w:t>
      </w:r>
      <w:r>
        <w:t xml:space="preserve"> </w:t>
      </w:r>
      <w:r>
        <w:t xml:space="preserve">Performance</w:t>
      </w:r>
      <w:r>
        <w:t xml:space="preserve"> </w:t>
      </w:r>
      <w:r>
        <w:t xml:space="preserve">in</w:t>
      </w:r>
      <w:r>
        <w:t xml:space="preserve"> </w:t>
      </w:r>
      <w:r>
        <w:t xml:space="preserve">Japan</w:t>
      </w:r>
      <w:r>
        <w:t xml:space="preserve"> </w:t>
      </w:r>
      <w:r>
        <w:t xml:space="preserve">Osaka</w:t>
      </w:r>
    </w:p>
    <w:bookmarkStart w:id="29" w:name="X5d4c019c977f13c6cb14071b16f8b8e1beb8d3c"/>
    <w:p>
      <w:pPr>
        <w:pStyle w:val="Heading1"/>
      </w:pPr>
      <w:r>
        <w:t xml:space="preserve">Quarterly Sales Report: Strategic Banking Performance Analysis for Japan Osaka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Global Banking Division</w:t>
      </w:r>
      <w:r>
        <w:br/>
      </w:r>
      <w:r>
        <w:rPr>
          <w:bCs/>
          <w:b/>
        </w:rPr>
        <w:t xml:space="preserve">Prepared By:</w:t>
      </w:r>
      <w:r>
        <w:t xml:space="preserve"> </w:t>
      </w:r>
      <w:r>
        <w:t xml:space="preserve">Regional Sales Analytics Team - Osaka Branch</w:t>
      </w:r>
    </w:p>
    <w:bookmarkStart w:id="20" w:name="executive-summary"/>
    <w:p>
      <w:pPr>
        <w:pStyle w:val="Heading2"/>
      </w:pPr>
      <w:r>
        <w:t xml:space="preserve">Executive Summary</w:t>
      </w:r>
    </w:p>
    <w:p>
      <w:pPr>
        <w:pStyle w:val="FirstParagraph"/>
      </w:pPr>
      <w:r>
        <w:t xml:space="preserve">This comprehensive Sales Report details the performance of our banking division across Japan Osaka during Q3 2023. As a premier Banker operating in one of Japan's most dynamic economic hubs, our strategic positioning has yielded significant growth in key service lines. The report underscores how targeted client acquisition and product innovation have strengthened our competitive edge in this critical market. With Osaka serving as the second-largest financial center in Japan, this Sales Report serves as a vital roadmap for future expansion and customer retention initiatives.</w:t>
      </w:r>
    </w:p>
    <w:bookmarkEnd w:id="20"/>
    <w:bookmarkStart w:id="21" w:name="market-context-osakas-banking-landscape"/>
    <w:p>
      <w:pPr>
        <w:pStyle w:val="Heading2"/>
      </w:pPr>
      <w:r>
        <w:t xml:space="preserve">Market Context: Osaka's Banking Landscape</w:t>
      </w:r>
    </w:p>
    <w:p>
      <w:pPr>
        <w:pStyle w:val="FirstParagraph"/>
      </w:pPr>
      <w:r>
        <w:t xml:space="preserve">Japan Osaka presents a unique banking environment characterized by robust corporate presence (including major manufacturers like Panasonic and Sharp), thriving SME sectors, and sophisticated retail banking demands. As the leading Banker in this market, our branch has consistently demonstrated superior understanding of local business culture. The recent economic revitalization projects in Osaka Bay Area have created unprecedented opportunities for financial services providers. This Sales Report confirms that our Osaka operations have outperformed regional averages by 18% in new client acquisition compared to competitors, validating our localized approach as the optimal strategy for Japan Osaka's complex market.</w:t>
      </w:r>
    </w:p>
    <w:bookmarkEnd w:id="21"/>
    <w:bookmarkStart w:id="22" w:name="key-sales-performance-metrics-q3-2023"/>
    <w:p>
      <w:pPr>
        <w:pStyle w:val="Heading2"/>
      </w:pPr>
      <w:r>
        <w:t xml:space="preserve">Key Sales Performance Metrics (Q3 2023)</w:t>
      </w:r>
    </w:p>
    <w:p>
      <w:pPr>
        <w:pStyle w:val="FirstParagraph"/>
      </w:pPr>
      <w:r>
        <w:t xml:space="preserve">The Sales Report reveals exceptional performance across all core service lines. Total deposits grew by 14.7% YoY, driven by strategic partnerships with Osaka-based industrial conglomerates. Commercial loans increased by 19.3%, with particular strength in the automotive supply chain sector—a critical industry for Japan Osaka's economy. Our innovative "Osaka Business Growth Package" attracted 237 new commercial clients, representing a 32% increase from Q2.</w:t>
      </w:r>
    </w:p>
    <w:p>
      <w:pPr>
        <w:pStyle w:val="BodyText"/>
      </w:pPr>
      <w:r>
        <w:t xml:space="preserve">Crucially, our personal banking division achieved record-breaking performance with a 16.5% rise in premium account sign-ups among Osaka's high-net-worth individuals (HNWIs). This success stems directly from our Banker's deep understanding of local wealth management preferences, including culturally specific investment vehicles like</w:t>
      </w:r>
      <w:r>
        <w:t xml:space="preserve"> </w:t>
      </w:r>
      <w:r>
        <w:rPr>
          <w:iCs/>
          <w:i/>
        </w:rPr>
        <w:t xml:space="preserve">shinkin</w:t>
      </w:r>
      <w:r>
        <w:t xml:space="preserve"> </w:t>
      </w:r>
      <w:r>
        <w:t xml:space="preserve">(cooperative) banking products. The Sales Report clearly identifies this cultural intelligence as the differentiator in a market where 85% of clients prioritize relationship-driven service over digital convenience.</w:t>
      </w:r>
    </w:p>
    <w:bookmarkEnd w:id="22"/>
    <w:bookmarkStart w:id="23" w:name="client-acquisition-strategy-analysis"/>
    <w:p>
      <w:pPr>
        <w:pStyle w:val="Heading2"/>
      </w:pPr>
      <w:r>
        <w:t xml:space="preserve">Client Acquisition Strategy Analysis</w:t>
      </w:r>
    </w:p>
    <w:p>
      <w:pPr>
        <w:pStyle w:val="FirstParagraph"/>
      </w:pPr>
      <w:r>
        <w:t xml:space="preserve">This Sales Report examines our client acquisition methodology in Japan Osaka. We implemented a hyper-localized approach focusing on Osaka's six major business districts (Namba, Umeda, Dotonbori, Namba, Tennoji, and Minoh). Our Banker team conducted 412 industry-specific workshops targeting textile manufacturers in Tennoji and food distributors in Shitennoji—resulting in a 37% conversion rate to full-service clients.</w:t>
      </w:r>
    </w:p>
    <w:p>
      <w:pPr>
        <w:pStyle w:val="BodyText"/>
      </w:pPr>
      <w:r>
        <w:t xml:space="preserve">Notably, our partnership with the Osaka Chamber of Commerce &amp; Industry has been instrumental. Through this alliance, we hosted three major networking events during Q3, generating 189 qualified leads. The Sales Report emphasizes that these relationships account for 64% of all new commercial clients acquired this quarter—proving that trusted local partnerships remain indispensable for banking success in Japan Osaka.</w:t>
      </w:r>
    </w:p>
    <w:bookmarkEnd w:id="23"/>
    <w:bookmarkStart w:id="24" w:name="customer-satisfaction-retention"/>
    <w:p>
      <w:pPr>
        <w:pStyle w:val="Heading2"/>
      </w:pPr>
      <w:r>
        <w:t xml:space="preserve">Customer Satisfaction &amp; Retention</w:t>
      </w:r>
    </w:p>
    <w:p>
      <w:pPr>
        <w:pStyle w:val="FirstParagraph"/>
      </w:pPr>
      <w:r>
        <w:t xml:space="preserve">Client retention metrics show exceptional strength with a 94.2% satisfaction rate (above industry average of 87%). This achievement directly results from our Banker's commitment to the "Osaka Way" of service—emphasizing relationship depth over transaction speed. Our dedicated Japanese-speaking client managers maintain weekly check-ins with premium clients, a practice deeply valued in local business culture.</w:t>
      </w:r>
    </w:p>
    <w:p>
      <w:pPr>
        <w:pStyle w:val="BodyText"/>
      </w:pPr>
      <w:r>
        <w:t xml:space="preserve">Analysis indicates that 78% of retained clients cited our cultural fluency as the primary reason for continued partnership. The Sales Report specifically notes that Osaka-based businesses prioritize banking relationships where the Banker demonstrates understanding of local customs like</w:t>
      </w:r>
      <w:r>
        <w:t xml:space="preserve"> </w:t>
      </w:r>
      <w:r>
        <w:rPr>
          <w:iCs/>
          <w:i/>
        </w:rPr>
        <w:t xml:space="preserve">omotenashi</w:t>
      </w:r>
      <w:r>
        <w:t xml:space="preserve"> </w:t>
      </w:r>
      <w:r>
        <w:t xml:space="preserve">(selfless hospitality) and hierarchical business protocols. This insight has driven our training program enhancements, now including mandatory cultural immersion modules for all new Banker staff.</w:t>
      </w:r>
    </w:p>
    <w:bookmarkEnd w:id="24"/>
    <w:bookmarkStart w:id="25" w:name="challenges-strategic-opportunities"/>
    <w:p>
      <w:pPr>
        <w:pStyle w:val="Heading2"/>
      </w:pPr>
      <w:r>
        <w:t xml:space="preserve">Challenges &amp; Strategic Opportunities</w:t>
      </w:r>
    </w:p>
    <w:p>
      <w:pPr>
        <w:pStyle w:val="FirstParagraph"/>
      </w:pPr>
      <w:r>
        <w:t xml:space="preserve">This Sales Report identifies two critical challenges requiring immediate action: 1) Increasing digital adoption among Osaka's traditional SMEs (only 38% use our mobile banking services), and 2) Competition for talent in Japan Osaka's tight labor market. Our proposed solution is a "Digital Transition Program" offering free on-site tech training with personalized coaching from our Banker team.</w:t>
      </w:r>
    </w:p>
    <w:p>
      <w:pPr>
        <w:pStyle w:val="BodyText"/>
      </w:pPr>
      <w:r>
        <w:t xml:space="preserve">Strategic opportunities abound in Osaka's emerging sectors: the growing green energy sector (with Osaka City targeting 100% renewable energy by 2035) presents a $42M potential loan portfolio. The Sales Report recommends launching an "Osaka Sustainability Loan" product specifically for eco-initiatives, which aligns with local government incentives.</w:t>
      </w:r>
    </w:p>
    <w:bookmarkEnd w:id="25"/>
    <w:bookmarkStart w:id="26" w:name="competitive-positioning-in-japan-osaka"/>
    <w:p>
      <w:pPr>
        <w:pStyle w:val="Heading2"/>
      </w:pPr>
      <w:r>
        <w:t xml:space="preserve">Competitive Positioning in Japan Osaka</w:t>
      </w:r>
    </w:p>
    <w:p>
      <w:pPr>
        <w:pStyle w:val="FirstParagraph"/>
      </w:pPr>
      <w:r>
        <w:t xml:space="preserve">Our competitive analysis confirms we've established leadership as the preferred Banker among Osaka's industrial sector. While competitor A leads in retail deposits, our 31% market share in commercial lending for manufacturing clients (compared to their 18%) demonstrates clear strategic advantage. The Sales Report attributes this to our industry-specialized bankers who understand Osaka's unique supply chain dynamics—a critical differentiator where competitors rely on generic product offerings.</w:t>
      </w:r>
    </w:p>
    <w:p>
      <w:pPr>
        <w:pStyle w:val="BodyText"/>
      </w:pPr>
      <w:r>
        <w:t xml:space="preserve">Notably, our Q3 client net promoter score (NPS) reached +67 in Japan Osaka—significantly higher than the banking sector average of +42. This quantifiable success validates that our localized approach delivers tangible business value, making us the Banker of choice for Osaka's most discerning enterprises.</w:t>
      </w:r>
    </w:p>
    <w:bookmarkEnd w:id="26"/>
    <w:bookmarkStart w:id="27" w:name="strategic-recommendations"/>
    <w:p>
      <w:pPr>
        <w:pStyle w:val="Heading2"/>
      </w:pPr>
      <w:r>
        <w:t xml:space="preserve">Strategic Recommendations</w:t>
      </w:r>
    </w:p>
    <w:p>
      <w:pPr>
        <w:pStyle w:val="FirstParagraph"/>
      </w:pPr>
      <w:r>
        <w:t xml:space="preserve">Based on this Sales Report, we recommend three priority actions for Japan Osaka operations:</w:t>
      </w:r>
    </w:p>
    <w:p>
      <w:pPr>
        <w:numPr>
          <w:ilvl w:val="0"/>
          <w:numId w:val="1001"/>
        </w:numPr>
        <w:pStyle w:val="Compact"/>
      </w:pPr>
      <w:r>
        <w:rPr>
          <w:bCs/>
          <w:b/>
        </w:rPr>
        <w:t xml:space="preserve">Launch "Osaka Business Growth" Digital Platform</w:t>
      </w:r>
      <w:r>
        <w:t xml:space="preserve">: A localized mobile app with features addressing Osaka SME pain points (e.g., Japanese-language supply chain financing tools).</w:t>
      </w:r>
    </w:p>
    <w:p>
      <w:pPr>
        <w:numPr>
          <w:ilvl w:val="0"/>
          <w:numId w:val="1001"/>
        </w:numPr>
        <w:pStyle w:val="Compact"/>
      </w:pPr>
      <w:r>
        <w:rPr>
          <w:bCs/>
          <w:b/>
        </w:rPr>
        <w:t xml:space="preserve">Expand Industry-Specialized Banker Teams</w:t>
      </w:r>
      <w:r>
        <w:t xml:space="preserve">: Add 4 new sector-focused bankers for Osaka's growing pharmaceutical and robotics industries.</w:t>
      </w:r>
    </w:p>
    <w:p>
      <w:pPr>
        <w:numPr>
          <w:ilvl w:val="0"/>
          <w:numId w:val="1001"/>
        </w:numPr>
        <w:pStyle w:val="Compact"/>
      </w:pPr>
      <w:r>
        <w:rPr>
          <w:bCs/>
          <w:b/>
        </w:rPr>
        <w:t xml:space="preserve">Develop Osaka Cultural Ambassador Program</w:t>
      </w:r>
      <w:r>
        <w:t xml:space="preserve">: Train senior Banker staff to conduct quarterly "cultural competency" workshops for client executives in Japanese business etiquette.</w:t>
      </w:r>
    </w:p>
    <w:bookmarkEnd w:id="27"/>
    <w:bookmarkStart w:id="28" w:name="conclusion"/>
    <w:p>
      <w:pPr>
        <w:pStyle w:val="Heading2"/>
      </w:pPr>
      <w:r>
        <w:t xml:space="preserve">Conclusion</w:t>
      </w:r>
    </w:p>
    <w:p>
      <w:pPr>
        <w:pStyle w:val="FirstParagraph"/>
      </w:pPr>
      <w:r>
        <w:t xml:space="preserve">This Sales Report conclusively demonstrates that our strategic focus on Japan Osaka's unique market dynamics has positioned us as the most trusted Banker in the region. The data confirms that cultural intelligence combined with product innovation drives sustainable growth—particularly in Osaka where business relationships are paramount. As we enter Q4, our team remains committed to deepening these relationships through personalized service that respects local traditions while delivering global banking excellence.</w:t>
      </w:r>
    </w:p>
    <w:p>
      <w:pPr>
        <w:pStyle w:val="BodyText"/>
      </w:pPr>
      <w:r>
        <w:t xml:space="preserve">With Osaka's economy projected to grow at 2.8% in 2024 (World Bank), our strategic positioning ensures we're not just participating in Japan Osaka's financial ecosystem—we're shaping its future. This Sales Report serves as both a performance assessment and a blueprint for continued leadership: where every Banker embodies the spirit of Osaka's business community while delivering world-class financial solutions.</w:t>
      </w:r>
    </w:p>
    <w:p>
      <w:pPr>
        <w:pStyle w:val="BodyText"/>
      </w:pPr>
      <w:r>
        <w:rPr>
          <w:bCs/>
          <w:b/>
        </w:rPr>
        <w:t xml:space="preserve">Final Note:</w:t>
      </w:r>
      <w:r>
        <w:t xml:space="preserve"> </w:t>
      </w:r>
      <w:r>
        <w:t xml:space="preserve">As the premier Banker in Japan Osaka, we understand that success here isn't measured merely in transaction volume—it's measured in enduring partnerships forged through cultural respect and strategic insight. This Sales Report proves that when banking meets Osaka, extraordinary results follow.</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Banking Performance in Japan Osaka</dc:title>
  <dc:creator/>
  <dc:language>en</dc:language>
  <cp:keywords/>
  <dcterms:created xsi:type="dcterms:W3CDTF">2026-07-23T12:58:38Z</dcterms:created>
  <dcterms:modified xsi:type="dcterms:W3CDTF">2026-07-23T12:58:38Z</dcterms:modified>
</cp:coreProperties>
</file>

<file path=docProps/custom.xml><?xml version="1.0" encoding="utf-8"?>
<Properties xmlns="http://schemas.openxmlformats.org/officeDocument/2006/custom-properties" xmlns:vt="http://schemas.openxmlformats.org/officeDocument/2006/docPropsVTypes"/>
</file>