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Tokyo</w:t>
      </w:r>
      <w:r>
        <w:t xml:space="preserve"> </w:t>
      </w:r>
      <w:r>
        <w:t xml:space="preserve">Sales</w:t>
      </w:r>
      <w:r>
        <w:t xml:space="preserve"> </w:t>
      </w:r>
      <w:r>
        <w:t xml:space="preserve">Report</w:t>
      </w:r>
      <w:r>
        <w:t xml:space="preserve"> </w:t>
      </w:r>
      <w:r>
        <w:t xml:space="preserve">|</w:t>
      </w:r>
      <w:r>
        <w:t xml:space="preserve"> </w:t>
      </w:r>
      <w:r>
        <w:t xml:space="preserve">Premium</w:t>
      </w:r>
      <w:r>
        <w:t xml:space="preserve"> </w:t>
      </w:r>
      <w:r>
        <w:t xml:space="preserve">Banking</w:t>
      </w:r>
      <w:r>
        <w:t xml:space="preserve"> </w:t>
      </w:r>
      <w:r>
        <w:t xml:space="preserve">Services</w:t>
      </w:r>
    </w:p>
    <w:bookmarkStart w:id="28" w:name="X29a49974d2d43ca918d346b93cd598168b13589"/>
    <w:p>
      <w:pPr>
        <w:pStyle w:val="Heading1"/>
      </w:pPr>
      <w:r>
        <w:t xml:space="preserve">Japan Tokyo Sales Report | Premium Banking Performance &amp; Strategic Outlook</w:t>
      </w:r>
    </w:p>
    <w:p>
      <w:pPr>
        <w:pStyle w:val="FirstParagraph"/>
      </w:pPr>
      <w:r>
        <w:t xml:space="preserve">Prepared For: Global Executive Board</w:t>
      </w:r>
      <w:r>
        <w:br/>
      </w:r>
      <w:r>
        <w:t xml:space="preserve">Period Covered: Q3 2023 (July 1 - September 30)</w:t>
      </w:r>
      <w:r>
        <w:br/>
      </w:r>
      <w:r>
        <w:t xml:space="preserve">Date: October 15,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Tokyo branch during Q3 2023, demonstrating exceptional growth in premium banking services across Japan's financial hub. As a premier global</w:t>
      </w:r>
      <w:r>
        <w:t xml:space="preserve"> </w:t>
      </w:r>
      <w:r>
        <w:rPr>
          <w:bCs/>
          <w:b/>
        </w:rPr>
        <w:t xml:space="preserve">Banker</w:t>
      </w:r>
      <w:r>
        <w:t xml:space="preserve">, our Tokyo team achieved a 17.4% year-over-year increase in high-net-worth client acquisitions, solidifying our position as the leading private banking provider in</w:t>
      </w:r>
      <w:r>
        <w:t xml:space="preserve"> </w:t>
      </w:r>
      <w:r>
        <w:rPr>
          <w:bCs/>
          <w:b/>
        </w:rPr>
        <w:t xml:space="preserve">Japan Tokyo</w:t>
      </w:r>
      <w:r>
        <w:t xml:space="preserve">. The report underscores strategic initiatives driving this success while addressing unique market dynamics of the world's most sophisticated financial center.</w:t>
      </w:r>
    </w:p>
    <w:bookmarkEnd w:id="20"/>
    <w:bookmarkStart w:id="21" w:name="X5d8511e632d9eb9d3d2d8c0dcca5485a56446d4"/>
    <w:p>
      <w:pPr>
        <w:pStyle w:val="Heading2"/>
      </w:pPr>
      <w:r>
        <w:t xml:space="preserve">Market Context: Japan Tokyo Banking Landscape</w:t>
      </w:r>
    </w:p>
    <w:p>
      <w:pPr>
        <w:pStyle w:val="FirstParagraph"/>
      </w:pPr>
      <w:r>
        <w:rPr>
          <w:bCs/>
          <w:b/>
        </w:rPr>
        <w:t xml:space="preserve">Japan Tokyo</w:t>
      </w:r>
      <w:r>
        <w:t xml:space="preserve"> </w:t>
      </w:r>
      <w:r>
        <w:t xml:space="preserve">remains the undisputed epicenter of Asia-Pacific finance, hosting over 200 international banks and managing $3.7 trillion in assets. In Q3, we navigated complex market conditions including: (1) heightened regulatory scrutiny under FSA's new KYC guidelines, (2) persistent yen volatility affecting cross-border transactions, and (3) growing demand for ESG-compliant investment solutions from Japanese corporate clients. Our</w:t>
      </w:r>
      <w:r>
        <w:t xml:space="preserve"> </w:t>
      </w:r>
      <w:r>
        <w:rPr>
          <w:bCs/>
          <w:b/>
        </w:rPr>
        <w:t xml:space="preserve">Banker</w:t>
      </w:r>
      <w:r>
        <w:t xml:space="preserve"> </w:t>
      </w:r>
      <w:r>
        <w:t xml:space="preserve">team's deep understanding of Tokyo's nuanced business culture—where relationship depth outweighs transaction speed—proved decisive in converting market challenges into growth opportunities.</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Target</w:t>
            </w:r>
          </w:p>
        </w:tc>
      </w:tr>
      <w:tr>
        <w:tc>
          <w:tcPr/>
          <w:p>
            <w:pPr>
              <w:pStyle w:val="Compact"/>
              <w:jc w:val="left"/>
            </w:pPr>
            <w:r>
              <w:t xml:space="preserve">High-Net-Worth Client Acquisition</w:t>
            </w:r>
          </w:p>
        </w:tc>
        <w:tc>
          <w:tcPr/>
          <w:p>
            <w:pPr>
              <w:pStyle w:val="Compact"/>
              <w:jc w:val="left"/>
            </w:pPr>
            <w:r>
              <w:t xml:space="preserve">428 new clients</w:t>
            </w:r>
          </w:p>
        </w:tc>
        <w:tc>
          <w:tcPr/>
          <w:p>
            <w:pPr>
              <w:pStyle w:val="Compact"/>
              <w:jc w:val="left"/>
            </w:pPr>
            <w:r>
              <w:t xml:space="preserve">+17.4%</w:t>
            </w:r>
          </w:p>
        </w:tc>
        <w:tc>
          <w:tcPr/>
          <w:p>
            <w:pPr>
              <w:pStyle w:val="Compact"/>
              <w:jc w:val="left"/>
            </w:pPr>
            <w:r>
              <w:t xml:space="preserve">365</w:t>
            </w:r>
          </w:p>
        </w:tc>
      </w:tr>
      <w:tr>
        <w:tc>
          <w:tcPr/>
          <w:p>
            <w:pPr>
              <w:pStyle w:val="Compact"/>
              <w:jc w:val="left"/>
            </w:pPr>
            <w:r>
              <w:t xml:space="preserve">Total AUM Growth</w:t>
            </w:r>
          </w:p>
        </w:tc>
        <w:tc>
          <w:tcPr/>
          <w:p>
            <w:pPr>
              <w:pStyle w:val="Compact"/>
              <w:jc w:val="left"/>
            </w:pPr>
            <w:r>
              <w:t xml:space="preserve">¥82.7B (≈$568M)</w:t>
            </w:r>
          </w:p>
        </w:tc>
        <w:tc>
          <w:tcPr/>
          <w:p>
            <w:pPr>
              <w:pStyle w:val="Compact"/>
              <w:jc w:val="left"/>
            </w:pPr>
            <w:r>
              <w:t xml:space="preserve">+23.1%</w:t>
            </w:r>
          </w:p>
        </w:tc>
        <w:tc>
          <w:tcPr/>
          <w:p>
            <w:pPr>
              <w:pStyle w:val="Compact"/>
              <w:jc w:val="left"/>
            </w:pPr>
            <w:r>
              <w:t xml:space="preserve">¥67.2B</w:t>
            </w:r>
          </w:p>
        </w:tc>
      </w:tr>
      <w:tr>
        <w:tc>
          <w:tcPr/>
          <w:p>
            <w:pPr>
              <w:pStyle w:val="Compact"/>
              <w:jc w:val="left"/>
            </w:pPr>
            <w:r>
              <w:t xml:space="preserve">Cross-Sell Rate</w:t>
            </w:r>
          </w:p>
        </w:tc>
        <w:tc>
          <w:tcPr/>
          <w:p>
            <w:pPr>
              <w:pStyle w:val="Compact"/>
              <w:jc w:val="left"/>
            </w:pPr>
            <w:r>
              <w:t xml:space="preserve">4.2 products/client</w:t>
            </w:r>
          </w:p>
        </w:tc>
        <w:tc>
          <w:tcPr/>
          <w:p>
            <w:pPr>
              <w:pStyle w:val="Compact"/>
              <w:jc w:val="left"/>
            </w:pPr>
            <w:r>
              <w:t xml:space="preserve">+35% from Q2</w:t>
            </w:r>
          </w:p>
        </w:tc>
        <w:tc>
          <w:tcPr/>
          <w:p>
            <w:pPr>
              <w:pStyle w:val="Compact"/>
              <w:jc w:val="left"/>
            </w:pPr>
            <w:r>
              <w:t xml:space="preserve">3.8</w:t>
            </w:r>
          </w:p>
        </w:tc>
      </w:tr>
      <w:tr>
        <w:tc>
          <w:tcPr/>
          <w:p>
            <w:pPr>
              <w:pStyle w:val="Compact"/>
              <w:jc w:val="left"/>
            </w:pPr>
            <w:r>
              <w:t xml:space="preserve">Client Retention Rate</w:t>
            </w:r>
          </w:p>
        </w:tc>
        <w:tc>
          <w:tcPr/>
          <w:p>
            <w:pPr>
              <w:pStyle w:val="Compact"/>
              <w:jc w:val="left"/>
            </w:pPr>
            <w:r>
              <w:t xml:space="preserve">96.7%</w:t>
            </w:r>
          </w:p>
        </w:tc>
        <w:tc>
          <w:tcPr/>
          <w:p>
            <w:pPr>
              <w:pStyle w:val="Compact"/>
              <w:jc w:val="left"/>
            </w:pPr>
            <w:r>
              <w:t xml:space="preserve">+2.3% YoY</w:t>
            </w:r>
          </w:p>
        </w:tc>
        <w:tc>
          <w:tcPr/>
          <w:p>
            <w:pPr>
              <w:pStyle w:val="Compact"/>
              <w:jc w:val="left"/>
            </w:pPr>
            <w:r>
              <w:t xml:space="preserve">94.4%</w:t>
            </w:r>
          </w:p>
        </w:tc>
      </w:tr>
    </w:tbl>
    <w:p>
      <w:pPr>
        <w:pStyle w:val="BodyText"/>
      </w:pPr>
      <w:r>
        <w:t xml:space="preserve">Notable achievements include securing three new institutional relationships with major Japanese trading houses (including a ¥15B portfolio mandate from Mitsubishi Corporation) and exceeding ESG investment targets by 28% through tailored sustainable finance solutions. Our Tokyo</w:t>
      </w:r>
      <w:r>
        <w:t xml:space="preserve"> </w:t>
      </w:r>
      <w:r>
        <w:rPr>
          <w:bCs/>
          <w:b/>
        </w:rPr>
        <w:t xml:space="preserve">Banker</w:t>
      </w:r>
      <w:r>
        <w:t xml:space="preserve"> </w:t>
      </w:r>
      <w:r>
        <w:t xml:space="preserve">team's cultural fluency—evidenced by 92% of advisors speaking fluent Japanese and understanding local business etiquette—was instrumental in closing these deals.</w:t>
      </w:r>
    </w:p>
    <w:bookmarkEnd w:id="22"/>
    <w:bookmarkStart w:id="23" w:name="strategic-initiatives-driving-success"/>
    <w:p>
      <w:pPr>
        <w:pStyle w:val="Heading2"/>
      </w:pPr>
      <w:r>
        <w:t xml:space="preserve">Strategic Initiatives Driving Success</w:t>
      </w:r>
    </w:p>
    <w:p>
      <w:pPr>
        <w:pStyle w:val="FirstParagraph"/>
      </w:pPr>
      <w:r>
        <w:t xml:space="preserve">Key differentiators deployed by our Tokyo branch include:</w:t>
      </w:r>
    </w:p>
    <w:p>
      <w:pPr>
        <w:numPr>
          <w:ilvl w:val="0"/>
          <w:numId w:val="1001"/>
        </w:numPr>
        <w:pStyle w:val="Compact"/>
      </w:pPr>
      <w:r>
        <w:rPr>
          <w:bCs/>
          <w:b/>
        </w:rPr>
        <w:t xml:space="preserve">Cultural Integration Program:</w:t>
      </w:r>
      <w:r>
        <w:t xml:space="preserve"> </w:t>
      </w:r>
      <w:r>
        <w:t xml:space="preserve">All new international bankers undergo immersive training in Tokyo business practices, including "wa" (harmony) communication protocols and seasonal etiquette (e.g., proper gift-giving during</w:t>
      </w:r>
      <w:r>
        <w:t xml:space="preserve"> </w:t>
      </w:r>
      <w:r>
        <w:rPr>
          <w:iCs/>
          <w:i/>
        </w:rPr>
        <w:t xml:space="preserve">osechi</w:t>
      </w:r>
      <w:r>
        <w:t xml:space="preserve"> </w:t>
      </w:r>
      <w:r>
        <w:t xml:space="preserve">season)</w:t>
      </w:r>
    </w:p>
    <w:p>
      <w:pPr>
        <w:numPr>
          <w:ilvl w:val="0"/>
          <w:numId w:val="1001"/>
        </w:numPr>
        <w:pStyle w:val="Compact"/>
      </w:pPr>
      <w:r>
        <w:rPr>
          <w:bCs/>
          <w:b/>
        </w:rPr>
        <w:t xml:space="preserve">Tokyo-Specific Product Suite:</w:t>
      </w:r>
      <w:r>
        <w:t xml:space="preserve"> </w:t>
      </w:r>
      <w:r>
        <w:t xml:space="preserve">Launch of the "Nihon Premium" portfolio featuring exclusive access to Japanese blue-chip stocks, domestic real estate funds, and Shinkansen-linked investment vehicles unavailable elsewhere</w:t>
      </w:r>
    </w:p>
    <w:p>
      <w:pPr>
        <w:numPr>
          <w:ilvl w:val="0"/>
          <w:numId w:val="1001"/>
        </w:numPr>
        <w:pStyle w:val="Compact"/>
      </w:pPr>
      <w:r>
        <w:rPr>
          <w:bCs/>
          <w:b/>
        </w:rPr>
        <w:t xml:space="preserve">Digital-First Relationship Management:</w:t>
      </w:r>
      <w:r>
        <w:t xml:space="preserve"> </w:t>
      </w:r>
      <w:r>
        <w:t xml:space="preserve">Implementation of a dedicated Tokyo client portal with AI-driven market insights in Japanese, reducing response time by 65% during market volatility</w:t>
      </w:r>
    </w:p>
    <w:p>
      <w:pPr>
        <w:numPr>
          <w:ilvl w:val="0"/>
          <w:numId w:val="1001"/>
        </w:numPr>
        <w:pStyle w:val="Compact"/>
      </w:pPr>
      <w:r>
        <w:rPr>
          <w:bCs/>
          <w:b/>
        </w:rPr>
        <w:t xml:space="preserve">ESG Leadership:</w:t>
      </w:r>
      <w:r>
        <w:t xml:space="preserve"> </w:t>
      </w:r>
      <w:r>
        <w:t xml:space="preserve">Partnering with Tokyo Stock Exchange on the "Green Finance Initiative," resulting in 40% of new clients selecting ESG-compliant products</w:t>
      </w:r>
    </w:p>
    <w:bookmarkEnd w:id="23"/>
    <w:bookmarkStart w:id="24" w:name="challenges-mitigation-strategies"/>
    <w:p>
      <w:pPr>
        <w:pStyle w:val="Heading2"/>
      </w:pPr>
      <w:r>
        <w:t xml:space="preserve">Challenges &amp; Mitigation Strategies</w:t>
      </w:r>
    </w:p>
    <w:p>
      <w:pPr>
        <w:pStyle w:val="FirstParagraph"/>
      </w:pPr>
      <w:r>
        <w:t xml:space="preserve">Despite strong performance, our Tokyo branch faced significant challenges requiring agile response:</w:t>
      </w:r>
    </w:p>
    <w:p>
      <w:pPr>
        <w:pStyle w:val="BodyText"/>
      </w:pPr>
      <w:r>
        <w:rPr>
          <w:bCs/>
          <w:b/>
        </w:rPr>
        <w:t xml:space="preserve">Challenge 1:</w:t>
      </w:r>
      <w:r>
        <w:t xml:space="preserve"> </w:t>
      </w:r>
      <w:r>
        <w:t xml:space="preserve">Regulatory changes under FSA's "Digital Banking Guidelines" increased compliance workload by 30%.</w:t>
      </w:r>
      <w:r>
        <w:t xml:space="preserve"> </w:t>
      </w:r>
      <w:r>
        <w:rPr>
          <w:bCs/>
          <w:b/>
        </w:rPr>
        <w:t xml:space="preserve">Solution:</w:t>
      </w:r>
      <w:r>
        <w:t xml:space="preserve"> </w:t>
      </w:r>
      <w:r>
        <w:t xml:space="preserve">Our Tokyo</w:t>
      </w:r>
      <w:r>
        <w:t xml:space="preserve"> </w:t>
      </w:r>
      <w:r>
        <w:rPr>
          <w:bCs/>
          <w:b/>
        </w:rPr>
        <w:t xml:space="preserve">Banker</w:t>
      </w:r>
      <w:r>
        <w:t xml:space="preserve"> </w:t>
      </w:r>
      <w:r>
        <w:t xml:space="preserve">team developed a real-time compliance dashboard integrated with local tax systems, reducing processing time from 72 to 18 hours.</w:t>
      </w:r>
    </w:p>
    <w:p>
      <w:pPr>
        <w:pStyle w:val="BodyText"/>
      </w:pPr>
      <w:r>
        <w:rPr>
          <w:bCs/>
          <w:b/>
        </w:rPr>
        <w:t xml:space="preserve">Challenge 2:</w:t>
      </w:r>
      <w:r>
        <w:t xml:space="preserve"> </w:t>
      </w:r>
      <w:r>
        <w:t xml:space="preserve">Yen depreciation impacting Japanese client asset values.</w:t>
      </w:r>
      <w:r>
        <w:t xml:space="preserve"> </w:t>
      </w:r>
      <w:r>
        <w:rPr>
          <w:bCs/>
          <w:b/>
        </w:rPr>
        <w:t xml:space="preserve">Solution:</w:t>
      </w:r>
      <w:r>
        <w:t xml:space="preserve"> </w:t>
      </w:r>
      <w:r>
        <w:t xml:space="preserve">Implemented dynamic hedging strategies in partnership with Sumitomo Mitsui Banking, protecting client portfolios during Q3 volatility.</w:t>
      </w:r>
    </w:p>
    <w:bookmarkEnd w:id="24"/>
    <w:bookmarkStart w:id="25" w:name="client-testimonials-tokyo-market-focus"/>
    <w:p>
      <w:pPr>
        <w:pStyle w:val="Heading2"/>
      </w:pPr>
      <w:r>
        <w:t xml:space="preserve">Client Testimonials (Tokyo Market Focus)</w:t>
      </w:r>
    </w:p>
    <w:p>
      <w:pPr>
        <w:pStyle w:val="BlockText"/>
      </w:pPr>
      <w:r>
        <w:t xml:space="preserve">"The Tokyo team didn't just provide banking services—they became part of our business strategy. Their understanding of Japanese corporate culture enabled seamless integration during our $850M cross-border acquisition."</w:t>
      </w:r>
      <w:r>
        <w:br/>
      </w:r>
      <w:r>
        <w:rPr>
          <w:bCs/>
          <w:b/>
        </w:rPr>
        <w:t xml:space="preserve">- Managing Director, Toyota Financial Services</w:t>
      </w:r>
    </w:p>
    <w:p>
      <w:pPr>
        <w:pStyle w:val="BlockText"/>
      </w:pPr>
      <w:r>
        <w:t xml:space="preserve">"As a third-generation family business, we required nuanced advice beyond standard banking. Our Tokyo</w:t>
      </w:r>
      <w:r>
        <w:t xml:space="preserve"> </w:t>
      </w:r>
      <w:r>
        <w:rPr>
          <w:bCs/>
          <w:b/>
        </w:rPr>
        <w:t xml:space="preserve">Banker</w:t>
      </w:r>
      <w:r>
        <w:t xml:space="preserve"> </w:t>
      </w:r>
      <w:r>
        <w:t xml:space="preserve">understood the importance of succession planning within Japanese familial structures."</w:t>
      </w:r>
      <w:r>
        <w:br/>
      </w:r>
      <w:r>
        <w:rPr>
          <w:bCs/>
          <w:b/>
        </w:rPr>
        <w:t xml:space="preserve">- CEO, Osaka Trading Consortium</w:t>
      </w:r>
    </w:p>
    <w:bookmarkEnd w:id="25"/>
    <w:bookmarkStart w:id="26" w:name="q4-strategic-focus-for-japan-tokyo"/>
    <w:p>
      <w:pPr>
        <w:pStyle w:val="Heading2"/>
      </w:pPr>
      <w:r>
        <w:t xml:space="preserve">Q4 Strategic Focus for Japan Tokyo</w:t>
      </w:r>
    </w:p>
    <w:p>
      <w:pPr>
        <w:pStyle w:val="FirstParagraph"/>
      </w:pPr>
      <w:r>
        <w:t xml:space="preserve">Building on Q3 success, our strategic priorities for Q4 include:</w:t>
      </w:r>
    </w:p>
    <w:p>
      <w:pPr>
        <w:numPr>
          <w:ilvl w:val="0"/>
          <w:numId w:val="1002"/>
        </w:numPr>
        <w:pStyle w:val="Compact"/>
      </w:pPr>
      <w:r>
        <w:rPr>
          <w:bCs/>
          <w:b/>
        </w:rPr>
        <w:t xml:space="preserve">Expansion into Osaka-Kansai Market:</w:t>
      </w:r>
      <w:r>
        <w:t xml:space="preserve"> </w:t>
      </w:r>
      <w:r>
        <w:t xml:space="preserve">Establishing dedicated client teams to capture growing corporate demand beyond Tokyo</w:t>
      </w:r>
    </w:p>
    <w:p>
      <w:pPr>
        <w:numPr>
          <w:ilvl w:val="0"/>
          <w:numId w:val="1002"/>
        </w:numPr>
        <w:pStyle w:val="Compact"/>
      </w:pPr>
      <w:r>
        <w:rPr>
          <w:bCs/>
          <w:b/>
        </w:rPr>
        <w:t xml:space="preserve">AI-Powered Client Analytics:</w:t>
      </w:r>
      <w:r>
        <w:t xml:space="preserve"> </w:t>
      </w:r>
      <w:r>
        <w:t xml:space="preserve">Deploying machine learning tools to predict Japanese market trends and client needs</w:t>
      </w:r>
    </w:p>
    <w:p>
      <w:pPr>
        <w:numPr>
          <w:ilvl w:val="0"/>
          <w:numId w:val="1002"/>
        </w:numPr>
        <w:pStyle w:val="Compact"/>
      </w:pPr>
      <w:r>
        <w:rPr>
          <w:bCs/>
          <w:b/>
        </w:rPr>
        <w:t xml:space="preserve">Cultural Ambassador Program:</w:t>
      </w:r>
      <w:r>
        <w:t xml:space="preserve"> </w:t>
      </w:r>
      <w:r>
        <w:t xml:space="preserve">Training 15 senior bankers in traditional Japanese arts (ikebana, tea ceremony) to deepen client relationships</w:t>
      </w:r>
    </w:p>
    <w:p>
      <w:pPr>
        <w:numPr>
          <w:ilvl w:val="0"/>
          <w:numId w:val="1002"/>
        </w:numPr>
        <w:pStyle w:val="Compact"/>
      </w:pPr>
      <w:r>
        <w:rPr>
          <w:bCs/>
          <w:b/>
        </w:rPr>
        <w:t xml:space="preserve">Sustainable Finance Acceleration:</w:t>
      </w:r>
      <w:r>
        <w:t xml:space="preserve"> </w:t>
      </w:r>
      <w:r>
        <w:t xml:space="preserve">Targeting ¥50B AUM for ESG products through new partnerships with Tokyo-based green tech startups</w:t>
      </w:r>
    </w:p>
    <w:bookmarkEnd w:id="26"/>
    <w:bookmarkStart w:id="27" w:name="Xbb5f71c6737534dfd5b3e50b53c3739f3c746fd"/>
    <w:p>
      <w:pPr>
        <w:pStyle w:val="Heading2"/>
      </w:pPr>
      <w:r>
        <w:t xml:space="preserve">Conclusion: The Banker Advantage in Japan Tokyo</w:t>
      </w:r>
    </w:p>
    <w:p>
      <w:pPr>
        <w:pStyle w:val="FirstParagraph"/>
      </w:pPr>
      <w:r>
        <w:t xml:space="preserve">This</w:t>
      </w:r>
      <w:r>
        <w:t xml:space="preserve"> </w:t>
      </w:r>
      <w:r>
        <w:rPr>
          <w:bCs/>
          <w:b/>
        </w:rPr>
        <w:t xml:space="preserve">Sales Report</w:t>
      </w:r>
      <w:r>
        <w:t xml:space="preserve"> </w:t>
      </w:r>
      <w:r>
        <w:t xml:space="preserve">unequivocally demonstrates that our Tokyo branch's success stems from authentic cultural integration, not just transactional banking. As the premier</w:t>
      </w:r>
      <w:r>
        <w:t xml:space="preserve"> </w:t>
      </w:r>
      <w:r>
        <w:rPr>
          <w:bCs/>
          <w:b/>
        </w:rPr>
        <w:t xml:space="preserve">Banker</w:t>
      </w:r>
      <w:r>
        <w:t xml:space="preserve"> </w:t>
      </w:r>
      <w:r>
        <w:t xml:space="preserve">in</w:t>
      </w:r>
      <w:r>
        <w:t xml:space="preserve"> </w:t>
      </w:r>
      <w:r>
        <w:rPr>
          <w:bCs/>
          <w:b/>
        </w:rPr>
        <w:t xml:space="preserve">Japan Tokyo</w:t>
      </w:r>
      <w:r>
        <w:t xml:space="preserve">, we've transformed from a global provider to a local market leader through:</w:t>
      </w:r>
    </w:p>
    <w:p>
      <w:pPr>
        <w:numPr>
          <w:ilvl w:val="0"/>
          <w:numId w:val="1003"/>
        </w:numPr>
        <w:pStyle w:val="Compact"/>
      </w:pPr>
      <w:r>
        <w:rPr>
          <w:iCs/>
          <w:i/>
        </w:rPr>
        <w:t xml:space="preserve">Cultural Intelligence:</w:t>
      </w:r>
      <w:r>
        <w:t xml:space="preserve"> </w:t>
      </w:r>
      <w:r>
        <w:t xml:space="preserve">Beyond language skills—understanding unspoken business customs and relationship hierarchies</w:t>
      </w:r>
    </w:p>
    <w:p>
      <w:pPr>
        <w:numPr>
          <w:ilvl w:val="0"/>
          <w:numId w:val="1003"/>
        </w:numPr>
        <w:pStyle w:val="Compact"/>
      </w:pPr>
      <w:r>
        <w:rPr>
          <w:iCs/>
          <w:i/>
        </w:rPr>
        <w:t xml:space="preserve">Localized Solutions:</w:t>
      </w:r>
      <w:r>
        <w:t xml:space="preserve"> </w:t>
      </w:r>
      <w:r>
        <w:t xml:space="preserve">Products designed for Japanese market nuances, not offshore templates</w:t>
      </w:r>
    </w:p>
    <w:p>
      <w:pPr>
        <w:numPr>
          <w:ilvl w:val="0"/>
          <w:numId w:val="1003"/>
        </w:numPr>
        <w:pStyle w:val="Compact"/>
      </w:pPr>
      <w:r>
        <w:rPr>
          <w:iCs/>
          <w:i/>
        </w:rPr>
        <w:t xml:space="preserve">Persistent Relationship Focus:</w:t>
      </w:r>
      <w:r>
        <w:t xml:space="preserve"> </w:t>
      </w:r>
      <w:r>
        <w:t xml:space="preserve">Prioritizing long-term trust over short-term commissions (evidenced by 96.7% retention)</w:t>
      </w:r>
    </w:p>
    <w:p>
      <w:pPr>
        <w:pStyle w:val="FirstParagraph"/>
      </w:pPr>
      <w:r>
        <w:t xml:space="preserve">With Tokyo's financial landscape evolving rapidly toward digital integration and ESG demands, our branch is positioned not merely to compete—but to lead. The data confirms that when banking services align with Japanese business culture, exceptional results follow. As one of Japan's most respected financial institutions continues to grow its Tokyo presence, this</w:t>
      </w:r>
      <w:r>
        <w:t xml:space="preserve"> </w:t>
      </w:r>
      <w:r>
        <w:rPr>
          <w:bCs/>
          <w:b/>
        </w:rPr>
        <w:t xml:space="preserve">Sales Report</w:t>
      </w:r>
      <w:r>
        <w:t xml:space="preserve"> </w:t>
      </w:r>
      <w:r>
        <w:t xml:space="preserve">stands as testament to the power of culturally intelligent banking in the world's most demanding market.</w:t>
      </w:r>
    </w:p>
    <w:p>
      <w:pPr>
        <w:pStyle w:val="BodyText"/>
      </w:pPr>
      <w:r>
        <w:t xml:space="preserve">"In Japan, success is built not on transactions, but on trust. Our Tokyo</w:t>
      </w:r>
      <w:r>
        <w:t xml:space="preserve"> </w:t>
      </w:r>
      <w:r>
        <w:rPr>
          <w:bCs/>
          <w:b/>
        </w:rPr>
        <w:t xml:space="preserve">Banker</w:t>
      </w:r>
      <w:r>
        <w:t xml:space="preserve"> </w:t>
      </w:r>
      <w:r>
        <w:t xml:space="preserve">team has mastered this philosophy."</w:t>
      </w:r>
    </w:p>
    <w:p>
      <w:pPr>
        <w:pStyle w:val="BodyText"/>
      </w:pPr>
      <w:r>
        <w:t xml:space="preserve">This Sales Report | Global Banking Division |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Tokyo Sales Report | Premium Banking Services</dc:title>
  <dc:creator/>
  <dc:language>en</dc:language>
  <cp:keywords/>
  <dcterms:created xsi:type="dcterms:W3CDTF">2026-07-24T04:50:53Z</dcterms:created>
  <dcterms:modified xsi:type="dcterms:W3CDTF">2026-07-24T04:50:53Z</dcterms:modified>
</cp:coreProperties>
</file>

<file path=docProps/custom.xml><?xml version="1.0" encoding="utf-8"?>
<Properties xmlns="http://schemas.openxmlformats.org/officeDocument/2006/custom-properties" xmlns:vt="http://schemas.openxmlformats.org/officeDocument/2006/docPropsVTypes"/>
</file>