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7" w:name="Xfcd4d3d808f232b697731aff234fd343583744d"/>
    <w:p>
      <w:pPr>
        <w:pStyle w:val="Heading1"/>
      </w:pPr>
      <w:r>
        <w:t xml:space="preserve">Sales Report: Strategic Performance Analysis for Banking Professionals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Board, Kazakhstan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comprehensive performance metrics for banking professionals operating in the Almaty market, Kazakhstan's premier financial hub. The document underscores how our dedicated Banker network has navigated dynamic economic conditions while driving sustainable growth across all product lines. With Almaty serving as the epicenter of Kazakhstan's financial ecosystem, this report highlights critical strategies that have positioned us for leadership in the regional banking landscape.</w:t>
      </w:r>
    </w:p>
    <w:bookmarkEnd w:id="20"/>
    <w:bookmarkStart w:id="21" w:name="Xda5307d400ac585b9462ca8323da9580005ed34"/>
    <w:p>
      <w:pPr>
        <w:pStyle w:val="Heading2"/>
      </w:pPr>
      <w:r>
        <w:t xml:space="preserve">II. Market Context: Kazakhstan Almaty Economic Landscape</w:t>
      </w:r>
    </w:p>
    <w:p>
      <w:pPr>
        <w:pStyle w:val="FirstParagraph"/>
      </w:pPr>
      <w:r>
        <w:t xml:space="preserve">Almaty remains the undisputed commercial capital of Kazakhstan, contributing approximately 35% to national GDP and housing 12 of the country's top 15 banking institutions. The Q3 market environment featured heightened volatility due to global energy price fluctuations and evolving Central Bank regulations. Crucially, Almaty's SME sector demonstrated remarkable resilience with a 7.8% quarterly growth rate, creating significant opportunities for our Banker team to deliver tailored financial solutions.</w:t>
      </w:r>
    </w:p>
    <w:p>
      <w:pPr>
        <w:pStyle w:val="BodyText"/>
      </w:pPr>
      <w:r>
        <w:t xml:space="preserve">As the premier banking city in Kazakhstan, Almaty demands specialized sales approaches that reflect local economic nuances. Our Sales Report confirms that successful Bankers here must possess deep understanding of both Kazakhstani regulatory frameworks and culturally attuned client engagement strategies. The market's transition toward digital banking adoption (now at 68% penetration) further necessitates adaptive sales methodologies from every Banker.</w:t>
      </w:r>
    </w:p>
    <w:bookmarkEnd w:id="21"/>
    <w:bookmarkStart w:id="22" w:name="iii.-sales-performance-analysis-q3-2023"/>
    <w:p>
      <w:pPr>
        <w:pStyle w:val="Heading2"/>
      </w:pPr>
      <w:r>
        <w:t xml:space="preserve">III. Sales Performance Analysis: Q3 2023</w:t>
      </w:r>
    </w:p>
    <w:p>
      <w:pPr>
        <w:pStyle w:val="FirstParagraph"/>
      </w:pPr>
      <w:r>
        <w:t xml:space="preserve">Our Banker performance in Kazakhstan Almaty exceeded targets by 14.3%, with total sales revenue reaching ₸187.5 billion (USD $417 million). Key highlights include:</w:t>
      </w:r>
    </w:p>
    <w:p>
      <w:pPr>
        <w:numPr>
          <w:ilvl w:val="0"/>
          <w:numId w:val="1001"/>
        </w:numPr>
        <w:pStyle w:val="Compact"/>
      </w:pPr>
      <w:r>
        <w:rPr>
          <w:bCs/>
          <w:b/>
        </w:rPr>
        <w:t xml:space="preserve">SME Lending:</w:t>
      </w:r>
      <w:r>
        <w:t xml:space="preserve"> </w:t>
      </w:r>
      <w:r>
        <w:t xml:space="preserve">22% growth YoY driven by our Banker's targeted outreach to Almaty's emerging tech and agribusiness sectors</w:t>
      </w:r>
    </w:p>
    <w:p>
      <w:pPr>
        <w:numPr>
          <w:ilvl w:val="0"/>
          <w:numId w:val="1001"/>
        </w:numPr>
        <w:pStyle w:val="Compact"/>
      </w:pPr>
      <w:r>
        <w:rPr>
          <w:bCs/>
          <w:b/>
        </w:rPr>
        <w:t xml:space="preserve">Private Wealth Management:</w:t>
      </w:r>
      <w:r>
        <w:t xml:space="preserve"> </w:t>
      </w:r>
      <w:r>
        <w:t xml:space="preserve">31% new client acquisition from Almaty's high-net-worth individual (HNI) segment</w:t>
      </w:r>
    </w:p>
    <w:p>
      <w:pPr>
        <w:numPr>
          <w:ilvl w:val="0"/>
          <w:numId w:val="1001"/>
        </w:numPr>
        <w:pStyle w:val="Compact"/>
      </w:pPr>
      <w:r>
        <w:rPr>
          <w:bCs/>
          <w:b/>
        </w:rPr>
        <w:t xml:space="preserve">Digital Banking Adoption:</w:t>
      </w:r>
      <w:r>
        <w:t xml:space="preserve"> </w:t>
      </w:r>
      <w:r>
        <w:t xml:space="preserve">45% increase in cross-sold digital products through personalized Banker consultations</w:t>
      </w:r>
    </w:p>
    <w:p>
      <w:pPr>
        <w:numPr>
          <w:ilvl w:val="0"/>
          <w:numId w:val="1001"/>
        </w:numPr>
        <w:pStyle w:val="Compact"/>
      </w:pPr>
      <w:r>
        <w:rPr>
          <w:bCs/>
          <w:b/>
        </w:rPr>
        <w:t xml:space="preserve">Cross-Selling Ratio:</w:t>
      </w:r>
      <w:r>
        <w:t xml:space="preserve"> </w:t>
      </w:r>
      <w:r>
        <w:t xml:space="preserve">Achieved 3.7 products per active client (vs. industry average of 2.1)</w:t>
      </w:r>
    </w:p>
    <w:p>
      <w:pPr>
        <w:pStyle w:val="FirstParagraph"/>
      </w:pPr>
      <w:r>
        <w:t xml:space="preserve">The Almaty branch network (comprising 42 locations) contributed 63% of Kazakhstan's total sales, demonstrating the strategic importance of our metropolitan presence. Notably, Bankers utilizing our new "Almaty Market Intelligence Dashboard" saw a 27% higher conversion rate in client consultations.</w:t>
      </w:r>
    </w:p>
    <w:bookmarkEnd w:id="22"/>
    <w:bookmarkStart w:id="23" w:name="Xbe33dd4df2ed26379c87d16e629e9e07e6906ee"/>
    <w:p>
      <w:pPr>
        <w:pStyle w:val="Heading2"/>
      </w:pPr>
      <w:r>
        <w:t xml:space="preserve">IV. Key Success Factors Driving Performance</w:t>
      </w:r>
    </w:p>
    <w:p>
      <w:pPr>
        <w:pStyle w:val="FirstParagraph"/>
      </w:pPr>
      <w:r>
        <w:t xml:space="preserve">Three critical elements distinguished top-performing Bankers in Kazakhstan Almaty:</w:t>
      </w:r>
    </w:p>
    <w:p>
      <w:pPr>
        <w:numPr>
          <w:ilvl w:val="0"/>
          <w:numId w:val="1002"/>
        </w:numPr>
        <w:pStyle w:val="Compact"/>
      </w:pPr>
      <w:r>
        <w:rPr>
          <w:bCs/>
          <w:b/>
        </w:rPr>
        <w:t xml:space="preserve">Cultural Fluency:</w:t>
      </w:r>
      <w:r>
        <w:t xml:space="preserve"> </w:t>
      </w:r>
      <w:r>
        <w:t xml:space="preserve">Bankers who incorporated Kazakh cultural protocols (e.g., traditional greeting practices, holiday considerations) achieved 34% higher client retention rates. This localized approach was particularly effective with older business owners in the central Almaty district.</w:t>
      </w:r>
    </w:p>
    <w:p>
      <w:pPr>
        <w:numPr>
          <w:ilvl w:val="0"/>
          <w:numId w:val="1002"/>
        </w:numPr>
        <w:pStyle w:val="Compact"/>
      </w:pPr>
      <w:r>
        <w:rPr>
          <w:bCs/>
          <w:b/>
        </w:rPr>
        <w:t xml:space="preserve">Regulatory Agility:</w:t>
      </w:r>
      <w:r>
        <w:t xml:space="preserve"> </w:t>
      </w:r>
      <w:r>
        <w:t xml:space="preserve">Post-2023 Central Bank reforms required rapid adaptation. Bankers who attended our mandatory "Kazakhstan Regulatory Update" workshops increased compliance-driven sales by 39% compared to peers.</w:t>
      </w:r>
    </w:p>
    <w:p>
      <w:pPr>
        <w:numPr>
          <w:ilvl w:val="0"/>
          <w:numId w:val="1002"/>
        </w:numPr>
        <w:pStyle w:val="Compact"/>
      </w:pPr>
      <w:r>
        <w:rPr>
          <w:bCs/>
          <w:b/>
        </w:rPr>
        <w:t xml:space="preserve">Almaty-Specific Product Knowledge:</w:t>
      </w:r>
      <w:r>
        <w:t xml:space="preserve"> </w:t>
      </w:r>
      <w:r>
        <w:t xml:space="preserve">Sales of our new "Nurly Zhol Infrastructure Loan" surged 210% after Bankers received localized training on Almaty's road construction projects. This exemplifies how market-specific expertise directly converts to revenue.</w:t>
      </w:r>
    </w:p>
    <w:bookmarkEnd w:id="23"/>
    <w:bookmarkStart w:id="24" w:name="v.-challenges-and-strategic-adjustments"/>
    <w:p>
      <w:pPr>
        <w:pStyle w:val="Heading2"/>
      </w:pPr>
      <w:r>
        <w:t xml:space="preserve">V. Challenges and Strategic Adjustments</w:t>
      </w:r>
    </w:p>
    <w:p>
      <w:pPr>
        <w:pStyle w:val="FirstParagraph"/>
      </w:pPr>
      <w:r>
        <w:t xml:space="preserve">While results were strong, our Sales Report identifies two critical challenges requiring immediate attention:</w:t>
      </w:r>
    </w:p>
    <w:p>
      <w:pPr>
        <w:numPr>
          <w:ilvl w:val="0"/>
          <w:numId w:val="1003"/>
        </w:numPr>
        <w:pStyle w:val="Compact"/>
      </w:pPr>
      <w:r>
        <w:rPr>
          <w:bCs/>
          <w:b/>
        </w:rPr>
        <w:t xml:space="preserve">Economic Volatility Impact:</w:t>
      </w:r>
      <w:r>
        <w:t xml:space="preserve"> </w:t>
      </w:r>
      <w:r>
        <w:t xml:space="preserve">18% of Almaty SMEs requested loan restructuring during Q3. Our response included developing a dedicated "Crisis Support Package" for Bankers to implement immediately, reducing client churn by 22%.</w:t>
      </w:r>
    </w:p>
    <w:p>
      <w:pPr>
        <w:numPr>
          <w:ilvl w:val="0"/>
          <w:numId w:val="1003"/>
        </w:numPr>
        <w:pStyle w:val="Compact"/>
      </w:pPr>
      <w:r>
        <w:rPr>
          <w:bCs/>
          <w:b/>
        </w:rPr>
        <w:t xml:space="preserve">Digital Competition:</w:t>
      </w:r>
      <w:r>
        <w:t xml:space="preserve"> </w:t>
      </w:r>
      <w:r>
        <w:t xml:space="preserve">Fintech startups gained 15% market share in Almaty's retail segment. We countered through our Banker-led "Digital Literacy Workshops," which boosted adoption of our mobile banking platform by 47% among existing clients.</w:t>
      </w:r>
    </w:p>
    <w:p>
      <w:pPr>
        <w:pStyle w:val="FirstParagraph"/>
      </w:pPr>
      <w:r>
        <w:t xml:space="preserve">Strategically, we've reallocated 25% of Q4 sales training budget toward Almaty-specific scenarios. This includes immersive sessions on Kazakhstan's new tax incentives for foreign investors – a key pain point for Bankers serving international clients in Almaty.</w:t>
      </w:r>
    </w:p>
    <w:bookmarkEnd w:id="24"/>
    <w:bookmarkStart w:id="25" w:name="X363e08b6dc8c427905ae289515991c696491f23"/>
    <w:p>
      <w:pPr>
        <w:pStyle w:val="Heading2"/>
      </w:pPr>
      <w:r>
        <w:t xml:space="preserve">VI. Future Growth Pathways in Kazakhstan Almaty</w:t>
      </w:r>
    </w:p>
    <w:p>
      <w:pPr>
        <w:pStyle w:val="FirstParagraph"/>
      </w:pPr>
      <w:r>
        <w:t xml:space="preserve">The Sales Report projects 18-20% growth potential for our Banker network in Almaty through three initiatives:</w:t>
      </w:r>
    </w:p>
    <w:p>
      <w:pPr>
        <w:numPr>
          <w:ilvl w:val="0"/>
          <w:numId w:val="1004"/>
        </w:numPr>
        <w:pStyle w:val="Compact"/>
      </w:pPr>
      <w:r>
        <w:rPr>
          <w:bCs/>
          <w:b/>
        </w:rPr>
        <w:t xml:space="preserve">Hyperlocal Expansion:</w:t>
      </w:r>
      <w:r>
        <w:t xml:space="preserve"> </w:t>
      </w:r>
      <w:r>
        <w:t xml:space="preserve">Targeting the burgeoning "Kok-Tobe" business district with dedicated Banker teams specializing in tech startup financing.</w:t>
      </w:r>
    </w:p>
    <w:p>
      <w:pPr>
        <w:numPr>
          <w:ilvl w:val="0"/>
          <w:numId w:val="1004"/>
        </w:numPr>
        <w:pStyle w:val="Compact"/>
      </w:pPr>
      <w:r>
        <w:rPr>
          <w:bCs/>
          <w:b/>
        </w:rPr>
        <w:t xml:space="preserve">Sustainability Products Launch:</w:t>
      </w:r>
      <w:r>
        <w:t xml:space="preserve"> </w:t>
      </w:r>
      <w:r>
        <w:t xml:space="preserve">Capitalizing on Kazakhstan's 2025 green energy targets, our Bankers will lead sales of ESG-compliant loans. Early pilot results show 65% client interest among Almaty-based industrial firms.</w:t>
      </w:r>
    </w:p>
    <w:p>
      <w:pPr>
        <w:numPr>
          <w:ilvl w:val="0"/>
          <w:numId w:val="1004"/>
        </w:numPr>
        <w:pStyle w:val="Compact"/>
      </w:pPr>
      <w:r>
        <w:rPr>
          <w:bCs/>
          <w:b/>
        </w:rPr>
        <w:t xml:space="preserve">Almaty Client Ambassador Program:</w:t>
      </w:r>
      <w:r>
        <w:t xml:space="preserve"> </w:t>
      </w:r>
      <w:r>
        <w:t xml:space="preserve">Training top-performing Bankers to serve as market influencers at local business forums, reinforcing our brand presence across Kazakhstan's financial capital.</w:t>
      </w:r>
    </w:p>
    <w:bookmarkEnd w:id="25"/>
    <w:bookmarkStart w:id="26" w:name="vii.-conclusion"/>
    <w:p>
      <w:pPr>
        <w:pStyle w:val="Heading2"/>
      </w:pPr>
      <w:r>
        <w:t xml:space="preserve">VII. Conclusion</w:t>
      </w:r>
    </w:p>
    <w:p>
      <w:pPr>
        <w:pStyle w:val="FirstParagraph"/>
      </w:pPr>
      <w:r>
        <w:t xml:space="preserve">This Sales Report unequivocally demonstrates that in Kazakhstan Almaty, success hinges on Banker expertise tailored to the city's unique economic and cultural ecosystem. The 14.3% sales growth in Q3 is not merely a number – it represents our Bankers' mastery of local market dynamics, regulatory navigation, and relationship-building at an unprecedented level.</w:t>
      </w:r>
    </w:p>
    <w:p>
      <w:pPr>
        <w:pStyle w:val="BodyText"/>
      </w:pPr>
      <w:r>
        <w:t xml:space="preserve">As Kazakhstan positions Almaty as the Central Asian financial gateway to Eurasian markets, our Banker network must remain at the forefront. The strategic investments in localized sales training and product development are yielding measurable returns. We project sustained growth through Q4, with specific targets for SME lending (25% increase) and digital cross-selling (50% higher than current rates) in Kazakhstan Almaty.</w:t>
      </w:r>
    </w:p>
    <w:p>
      <w:pPr>
        <w:pStyle w:val="BodyText"/>
      </w:pPr>
      <w:r>
        <w:t xml:space="preserve">In closing, this Sales Report affirms that our Banker excellence in Kazakhstan Almaty is no longer an advantage – it's the fundamental competitive differentiator. Our continued success will depend on maintaining this hyperlocal focus while scaling proven methodologies across the wider Kazakhstani market. The future of banking in Kazakhstan begins with the strategic execution of every Banker operating from Almaty's financial heartland.</w:t>
      </w:r>
    </w:p>
    <w:p>
      <w:pPr>
        <w:pStyle w:val="BodyText"/>
      </w:pPr>
      <w:r>
        <w:rPr>
          <w:bCs/>
          <w:b/>
        </w:rPr>
        <w:t xml:space="preserve">Prepared By:</w:t>
      </w:r>
      <w:r>
        <w:t xml:space="preserve"> </w:t>
      </w:r>
      <w:r>
        <w:t xml:space="preserve">Regional Sales Intelligence Team</w:t>
      </w:r>
      <w:r>
        <w:br/>
      </w:r>
      <w:r>
        <w:rPr>
          <w:bCs/>
          <w:b/>
        </w:rPr>
        <w:t xml:space="preserve">Contact:</w:t>
      </w:r>
      <w:r>
        <w:t xml:space="preserve"> </w:t>
      </w:r>
      <w:r>
        <w:t xml:space="preserve">almaty.sales@bankkz.kz | +7 727 500-1234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Banker Performance in Kazakhstan Almaty</dc:title>
  <dc:creator/>
  <dc:language>en</dc:language>
  <cp:keywords/>
  <dcterms:created xsi:type="dcterms:W3CDTF">2025-12-13T12:48:20Z</dcterms:created>
  <dcterms:modified xsi:type="dcterms:W3CDTF">2025-12-13T12:48:20Z</dcterms:modified>
</cp:coreProperties>
</file>

<file path=docProps/custom.xml><?xml version="1.0" encoding="utf-8"?>
<Properties xmlns="http://schemas.openxmlformats.org/officeDocument/2006/custom-properties" xmlns:vt="http://schemas.openxmlformats.org/officeDocument/2006/docPropsVTypes"/>
</file>