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Banking</w:t>
      </w:r>
      <w:r>
        <w:t xml:space="preserve"> </w:t>
      </w:r>
      <w:r>
        <w:t xml:space="preserve">Performance</w:t>
      </w:r>
      <w:r>
        <w:t xml:space="preserve"> </w:t>
      </w:r>
      <w:r>
        <w:t xml:space="preserve">Analysis</w:t>
      </w:r>
      <w:r>
        <w:t xml:space="preserve"> </w:t>
      </w:r>
      <w:r>
        <w:t xml:space="preserve">-</w:t>
      </w:r>
      <w:r>
        <w:t xml:space="preserve"> </w:t>
      </w:r>
      <w:r>
        <w:t xml:space="preserve">Kenya</w:t>
      </w:r>
      <w:r>
        <w:t xml:space="preserve"> </w:t>
      </w:r>
      <w:r>
        <w:t xml:space="preserve">Nairobi</w:t>
      </w:r>
    </w:p>
    <w:bookmarkStart w:id="27" w:name="Xf0b9fb0082cfef9eb17b1dd54cee9557fadd14f"/>
    <w:p>
      <w:pPr>
        <w:pStyle w:val="Heading1"/>
      </w:pPr>
      <w:r>
        <w:t xml:space="preserve">SALES REPORT FOR BANKING PERFORMANCE IN KENYA NAIROBI</w:t>
      </w:r>
    </w:p>
    <w:bookmarkStart w:id="26" w:name="Xa4dffe0f30b52914f97a106cfcaeba2ca12559c"/>
    <w:p>
      <w:pPr>
        <w:pStyle w:val="Heading2"/>
      </w:pPr>
      <w:r>
        <w:t xml:space="preserve">Quarterly Sales Analysis &amp; Strategic Outlook for Nairobi Operations</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Branch Management, Kenya National Office |</w:t>
      </w:r>
      <w:r>
        <w:t xml:space="preserve"> </w:t>
      </w:r>
      <w:r>
        <w:rPr>
          <w:bCs/>
          <w:b/>
        </w:rPr>
        <w:t xml:space="preserve">Report Period:</w:t>
      </w:r>
      <w:r>
        <w:t xml:space="preserve"> </w:t>
      </w:r>
      <w:r>
        <w:t xml:space="preserve">July - September 2023</w:t>
      </w:r>
    </w:p>
    <w:bookmarkStart w:id="20" w:name="executive-summary"/>
    <w:p>
      <w:pPr>
        <w:pStyle w:val="Heading3"/>
      </w:pPr>
      <w:r>
        <w:t xml:space="preserve">Executive Summary</w:t>
      </w:r>
    </w:p>
    <w:p>
      <w:pPr>
        <w:pStyle w:val="FirstParagraph"/>
      </w:pPr>
      <w:r>
        <w:t xml:space="preserve">This Sales Report details the performance of our Nairobi branch operations for Q3 2023, demonstrating significant growth across key banking products amid Kenya's evolving financial landscape. As a Banker operating in Nairobi's competitive market, I am pleased to report a 17.8% year-over-year increase in new customer acquisitions and a 12.4% rise in cross-sold financial products within the Nairobi metropolitan area. These achievements underscore our strategic focus on client-centric solutions tailored to Kenya's dynamic economic environment, particularly addressing challenges faced by small businesses and high-net-worth individuals in Nairobi.</w:t>
      </w:r>
    </w:p>
    <w:bookmarkEnd w:id="20"/>
    <w:bookmarkStart w:id="21" w:name="X0aaea7007cf5ba48f667eb5863b9d012ca71d41"/>
    <w:p>
      <w:pPr>
        <w:pStyle w:val="Heading3"/>
      </w:pPr>
      <w:r>
        <w:t xml:space="preserve">I. Sales Performance Overview (Kenya Nairobi Context)</w:t>
      </w:r>
    </w:p>
    <w:p>
      <w:pPr>
        <w:pStyle w:val="FirstParagraph"/>
      </w:pPr>
      <w:r>
        <w:t xml:space="preserve">Our Nairobi branch exceeded quarterly targets by 14.6%, driven by robust performance in three critical segments:</w:t>
      </w:r>
    </w:p>
    <w:p>
      <w:pPr>
        <w:numPr>
          <w:ilvl w:val="0"/>
          <w:numId w:val="1001"/>
        </w:numPr>
        <w:pStyle w:val="Compact"/>
      </w:pPr>
      <w:r>
        <w:rPr>
          <w:bCs/>
          <w:b/>
        </w:rPr>
        <w:t xml:space="preserve">Business Banking:</w:t>
      </w:r>
      <w:r>
        <w:t xml:space="preserve"> </w:t>
      </w:r>
      <w:r>
        <w:t xml:space="preserve">+23% growth (vs. Q2) with 87 new SME clients onboarded, particularly in Nairobi's manufacturing and agribusiness sectors – a direct response to Kenya's government initiatives like the Big Four Agenda</w:t>
      </w:r>
    </w:p>
    <w:p>
      <w:pPr>
        <w:numPr>
          <w:ilvl w:val="0"/>
          <w:numId w:val="1001"/>
        </w:numPr>
        <w:pStyle w:val="Compact"/>
      </w:pPr>
      <w:r>
        <w:rPr>
          <w:bCs/>
          <w:b/>
        </w:rPr>
        <w:t xml:space="preserve">Retail Digital Services:</w:t>
      </w:r>
      <w:r>
        <w:t xml:space="preserve"> </w:t>
      </w:r>
      <w:r>
        <w:t xml:space="preserve">41% adoption rate of mobile banking services among new customers, surpassing national average by 18% due to our tailored Nairobi-specific digital onboarding process</w:t>
      </w:r>
    </w:p>
    <w:p>
      <w:pPr>
        <w:numPr>
          <w:ilvl w:val="0"/>
          <w:numId w:val="1001"/>
        </w:numPr>
        <w:pStyle w:val="Compact"/>
      </w:pPr>
      <w:r>
        <w:rPr>
          <w:bCs/>
          <w:b/>
        </w:rPr>
        <w:t xml:space="preserve">Wealth Management:</w:t>
      </w:r>
      <w:r>
        <w:t xml:space="preserve"> </w:t>
      </w:r>
      <w:r>
        <w:t xml:space="preserve">+35% increase in high-value client acquisition (KES 5M+ portfolios), positioning us as Nairobi's preferred Banker for affluent Kenyan investors</w:t>
      </w:r>
    </w:p>
    <w:p>
      <w:pPr>
        <w:pStyle w:val="FirstParagraph"/>
      </w:pPr>
      <w:r>
        <w:t xml:space="preserve">Notably, Nairobi accounted for 68% of all branch sales in Kenya despite representing only 27% of our total branch count, reflecting the city's status as Kenya's primary economic engine. This performance validates our strategic decision to concentrate resources in Nairobi through the dedicated "Nairobi Growth Acceleration Program."</w:t>
      </w:r>
    </w:p>
    <w:bookmarkEnd w:id="21"/>
    <w:bookmarkStart w:id="22" w:name="ii.-key-sales-drivers-in-nairobi-market"/>
    <w:p>
      <w:pPr>
        <w:pStyle w:val="Heading3"/>
      </w:pPr>
      <w:r>
        <w:t xml:space="preserve">II. Key Sales Drivers in Nairobi Market</w:t>
      </w:r>
    </w:p>
    <w:p>
      <w:pPr>
        <w:pStyle w:val="FirstParagraph"/>
      </w:pPr>
      <w:r>
        <w:t xml:space="preserve">As a Banker deeply embedded in Kenya's Nairobi ecosystem, I've identified three pivotal factors behind our success:</w:t>
      </w:r>
    </w:p>
    <w:p>
      <w:pPr>
        <w:numPr>
          <w:ilvl w:val="0"/>
          <w:numId w:val="1002"/>
        </w:numPr>
        <w:pStyle w:val="Compact"/>
      </w:pPr>
      <w:r>
        <w:rPr>
          <w:bCs/>
          <w:b/>
        </w:rPr>
        <w:t xml:space="preserve">Hyper-Local Product Customization:</w:t>
      </w:r>
      <w:r>
        <w:t xml:space="preserve"> </w:t>
      </w:r>
      <w:r>
        <w:t xml:space="preserve">We developed "Nairobi Business Starter Packs" – loan products with flexible collateral requirements for matatus, kiosks, and craft businesses prevalent in Nairobi neighborhoods like Kibera and Eastleigh. This initiative generated KES 87M in new business loans within Q3.</w:t>
      </w:r>
    </w:p>
    <w:p>
      <w:pPr>
        <w:numPr>
          <w:ilvl w:val="0"/>
          <w:numId w:val="1002"/>
        </w:numPr>
        <w:pStyle w:val="Compact"/>
      </w:pPr>
      <w:r>
        <w:rPr>
          <w:bCs/>
          <w:b/>
        </w:rPr>
        <w:t xml:space="preserve">Digital Integration with Local Payment Systems:</w:t>
      </w:r>
      <w:r>
        <w:t xml:space="preserve"> </w:t>
      </w:r>
      <w:r>
        <w:t xml:space="preserve">Partnering with M-Pesa to create seamless loan disbursement channels for Nairobi's cash-dependent SMEs increased application conversion by 29%. Our Banker team conducted over 120 digital literacy workshops across 5 Nairobi neighborhoods.</w:t>
      </w:r>
    </w:p>
    <w:p>
      <w:pPr>
        <w:numPr>
          <w:ilvl w:val="0"/>
          <w:numId w:val="1002"/>
        </w:numPr>
        <w:pStyle w:val="Compact"/>
      </w:pPr>
      <w:r>
        <w:rPr>
          <w:bCs/>
          <w:b/>
        </w:rPr>
        <w:t xml:space="preserve">Community Engagement Strategy:</w:t>
      </w:r>
      <w:r>
        <w:t xml:space="preserve"> </w:t>
      </w:r>
      <w:r>
        <w:t xml:space="preserve">Active participation in Nairobi events like the Kenya Banking Association Summit and KICC Business Forums positioned us as trusted advisors. This resulted in 34% of new clients coming through referral channels.</w:t>
      </w:r>
    </w:p>
    <w:bookmarkEnd w:id="22"/>
    <w:bookmarkStart w:id="23" w:name="X1849f3a0befc6b230908637e81835af8bf9f6fb"/>
    <w:p>
      <w:pPr>
        <w:pStyle w:val="Heading3"/>
      </w:pPr>
      <w:r>
        <w:t xml:space="preserve">III. Nairobi-Specific Challenges &amp; Solutions</w:t>
      </w:r>
    </w:p>
    <w:p>
      <w:pPr>
        <w:pStyle w:val="FirstParagraph"/>
      </w:pPr>
      <w:r>
        <w:t xml:space="preserve">Operating as a Banker in Kenya's Nairobi demands navigating unique market complexities: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Our Nairobi Banker Response</w:t>
            </w:r>
          </w:p>
        </w:tc>
        <w:tc>
          <w:tcPr/>
          <w:p>
            <w:pPr>
              <w:pStyle w:val="Compact"/>
              <w:jc w:val="left"/>
            </w:pPr>
            <w:r>
              <w:t xml:space="preserve">Result</w:t>
            </w:r>
          </w:p>
        </w:tc>
      </w:tr>
      <w:tr>
        <w:tc>
          <w:tcPr/>
          <w:p>
            <w:pPr>
              <w:pStyle w:val="Compact"/>
              <w:jc w:val="left"/>
            </w:pPr>
            <w:r>
              <w:t xml:space="preserve">High competition from digital banks in Nairobi</w:t>
            </w:r>
          </w:p>
        </w:tc>
        <w:tc>
          <w:tcPr/>
          <w:p>
            <w:pPr>
              <w:pStyle w:val="Compact"/>
              <w:jc w:val="left"/>
            </w:pPr>
            <w:r>
              <w:t xml:space="preserve">Launched "Nairobi Branch Experience" – personalized onboarding with physical branch visits for first-time clients</w:t>
            </w:r>
          </w:p>
        </w:tc>
        <w:tc>
          <w:tcPr/>
          <w:p>
            <w:pPr>
              <w:pStyle w:val="Compact"/>
              <w:jc w:val="left"/>
            </w:pPr>
            <w:r>
              <w:t xml:space="preserve">37% higher client retention vs. digital-only competitors</w:t>
            </w:r>
          </w:p>
        </w:tc>
      </w:tr>
      <w:tr>
        <w:tc>
          <w:tcPr/>
          <w:p>
            <w:pPr>
              <w:pStyle w:val="Compact"/>
              <w:jc w:val="left"/>
            </w:pPr>
            <w:r>
              <w:t xml:space="preserve">Economic volatility affecting SMEs</w:t>
            </w:r>
          </w:p>
        </w:tc>
        <w:tc>
          <w:tcPr/>
          <w:p>
            <w:pPr>
              <w:pStyle w:val="Compact"/>
              <w:jc w:val="left"/>
            </w:pPr>
            <w:r>
              <w:t xml:space="preserve">Created Nairobi "Cash Flow Rescue" loan products with moratorium options for seasonal businesses</w:t>
            </w:r>
          </w:p>
        </w:tc>
        <w:tc>
          <w:tcPr/>
          <w:p>
            <w:pPr>
              <w:pStyle w:val="Compact"/>
              <w:jc w:val="left"/>
            </w:pPr>
            <w:r>
              <w:t xml:space="preserve">KES 42M in emergency loans disbursed to Nairobi artisans during harvest season</w:t>
            </w:r>
          </w:p>
        </w:tc>
      </w:tr>
      <w:tr>
        <w:tc>
          <w:tcPr/>
          <w:p>
            <w:pPr>
              <w:pStyle w:val="Compact"/>
              <w:jc w:val="left"/>
            </w:pPr>
            <w:r>
              <w:t xml:space="preserve">Low digital literacy in informal sectors</w:t>
            </w:r>
          </w:p>
        </w:tc>
        <w:tc>
          <w:tcPr/>
          <w:p>
            <w:pPr>
              <w:pStyle w:val="Compact"/>
              <w:jc w:val="left"/>
            </w:pPr>
            <w:r>
              <w:t xml:space="preserve">Trained 87 Nairobi-based Banker assistants as community tech champions for localized support</w:t>
            </w:r>
          </w:p>
        </w:tc>
        <w:tc>
          <w:tcPr/>
          <w:p>
            <w:pPr>
              <w:pStyle w:val="Compact"/>
              <w:jc w:val="left"/>
            </w:pPr>
            <w:r>
              <w:t xml:space="preserve">Digital service adoption up 49% in low-income Nairobi neighborhoods</w:t>
            </w:r>
          </w:p>
        </w:tc>
      </w:tr>
    </w:tbl>
    <w:bookmarkEnd w:id="23"/>
    <w:bookmarkStart w:id="24" w:name="X5628e92df8514968ffe13c5b97a17694adc9780"/>
    <w:p>
      <w:pPr>
        <w:pStyle w:val="Heading3"/>
      </w:pPr>
      <w:r>
        <w:t xml:space="preserve">IV. Strategic Recommendations for Kenya Nairobi Operations</w:t>
      </w:r>
    </w:p>
    <w:p>
      <w:pPr>
        <w:pStyle w:val="FirstParagraph"/>
      </w:pPr>
      <w:r>
        <w:t xml:space="preserve">Based on our Q3 success in Nairobi, I propose the following actions to sustain growth:</w:t>
      </w:r>
    </w:p>
    <w:p>
      <w:pPr>
        <w:numPr>
          <w:ilvl w:val="0"/>
          <w:numId w:val="1003"/>
        </w:numPr>
        <w:pStyle w:val="Compact"/>
      </w:pPr>
      <w:r>
        <w:rPr>
          <w:bCs/>
          <w:b/>
        </w:rPr>
        <w:t xml:space="preserve">Expand "Nairobi Growth Hubs":</w:t>
      </w:r>
      <w:r>
        <w:t xml:space="preserve"> </w:t>
      </w:r>
      <w:r>
        <w:t xml:space="preserve">Establish two additional satellite offices in emerging Nairobi areas (Ruiru and Limuru) targeting high-growth micro-entrepreneur clusters.</w:t>
      </w:r>
    </w:p>
    <w:p>
      <w:pPr>
        <w:numPr>
          <w:ilvl w:val="0"/>
          <w:numId w:val="1003"/>
        </w:numPr>
        <w:pStyle w:val="Compact"/>
      </w:pPr>
      <w:r>
        <w:rPr>
          <w:bCs/>
          <w:b/>
        </w:rPr>
        <w:t xml:space="preserve">Develop Kenya-Specific Wealth Products:</w:t>
      </w:r>
      <w:r>
        <w:t xml:space="preserve"> </w:t>
      </w:r>
      <w:r>
        <w:t xml:space="preserve">Create a "Kenya Diaspora Investment Portal" for overseas Kenyans, addressing a KES 12.7B market opportunity in Nairobi.</w:t>
      </w:r>
    </w:p>
    <w:p>
      <w:pPr>
        <w:numPr>
          <w:ilvl w:val="0"/>
          <w:numId w:val="1003"/>
        </w:numPr>
        <w:pStyle w:val="Compact"/>
      </w:pPr>
      <w:r>
        <w:rPr>
          <w:bCs/>
          <w:b/>
        </w:rPr>
        <w:t xml:space="preserve">Leverage Nairobi's Ecosystem:</w:t>
      </w:r>
      <w:r>
        <w:t xml:space="preserve"> </w:t>
      </w:r>
      <w:r>
        <w:t xml:space="preserve">Form strategic partnerships with Nairobi-based incubators (e.g., MEST Africa, iHub) to access early-stage businesses.</w:t>
      </w:r>
    </w:p>
    <w:p>
      <w:pPr>
        <w:numPr>
          <w:ilvl w:val="0"/>
          <w:numId w:val="1003"/>
        </w:numPr>
        <w:pStyle w:val="Compact"/>
      </w:pPr>
      <w:r>
        <w:rPr>
          <w:bCs/>
          <w:b/>
        </w:rPr>
        <w:t xml:space="preserve">Enhance Cybersecurity for Local Clients:</w:t>
      </w:r>
      <w:r>
        <w:t xml:space="preserve"> </w:t>
      </w:r>
      <w:r>
        <w:t xml:space="preserve">Implement SMS-based transaction alerts tailored to Nairobi mobile usage patterns following recent fraud trends in Kenyan banking.</w:t>
      </w:r>
    </w:p>
    <w:bookmarkEnd w:id="24"/>
    <w:bookmarkStart w:id="25" w:name="v.-conclusion-future-outlook"/>
    <w:p>
      <w:pPr>
        <w:pStyle w:val="Heading3"/>
      </w:pPr>
      <w:r>
        <w:t xml:space="preserve">V. Conclusion &amp; Future Outlook</w:t>
      </w:r>
    </w:p>
    <w:p>
      <w:pPr>
        <w:pStyle w:val="FirstParagraph"/>
      </w:pPr>
      <w:r>
        <w:t xml:space="preserve">As a Banker operating in the heart of Kenya Nairobi, I am confident that our Q3 performance demonstrates how localized banking solutions drive sustainable growth in Africa's most dynamic financial center. Our success wasn't accidental – it was built through deep understanding of Nairobi's unique commercial rhythms, from the bustling markets of Jua Kali to the corporate offices in Central Business District. This Sales Report confirms that when a Banker invests in hyper-local market intelligence (as we did with our Nairobi Economic Pulse Survey), significant returns follow.</w:t>
      </w:r>
    </w:p>
    <w:p>
      <w:pPr>
        <w:pStyle w:val="BodyText"/>
      </w:pPr>
      <w:r>
        <w:t xml:space="preserve">Looking ahead, our Q4 targets include capturing 15% of Nairobi's SME banking market share through the newly launched "Nairobi Growth Catalyst" program. We'll maintain our core principle: every solution must reflect Kenya's realities – whether it's accommodating M-Pesa transactions for a kiosk owner in Kibera or structuring loans that align with Nairobi's agricultural seasons. In a city where 80% of Kenya's GDP is generated, the Banker who understands Nairobi doesn't just sell products – they enable economic growth.</w:t>
      </w:r>
    </w:p>
    <w:p>
      <w:pPr>
        <w:pStyle w:val="BodyText"/>
      </w:pPr>
      <w:r>
        <w:rPr>
          <w:bCs/>
          <w:b/>
        </w:rPr>
        <w:t xml:space="preserve">Final Note:</w:t>
      </w:r>
      <w:r>
        <w:t xml:space="preserve"> </w:t>
      </w:r>
      <w:r>
        <w:t xml:space="preserve">This Sales Report exemplifies how our Nairobi branch operates as a strategic asset within Kenya's national banking landscape. By making "Kenya Nairobi" the center of our innovation, we don't just serve customers – we become indispensable partners in the nation's financial journey.</w:t>
      </w:r>
    </w:p>
    <w:p>
      <w:pPr>
        <w:pStyle w:val="BodyText"/>
      </w:pPr>
      <w:r>
        <w:t xml:space="preserve">Prepared by a Certified Banker with 12 years' experience serving Nairobi's banking sector</w:t>
      </w:r>
    </w:p>
    <w:p>
      <w:pPr>
        <w:pStyle w:val="BodyText"/>
      </w:pPr>
      <w:r>
        <w:t xml:space="preserve">This Sales Report complies with Central Bank of Kenya's Reporting Standards (CBK/BR/2023) and is valid for Nairobi branch operations.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Banking Performance Analysis - Kenya Nairobi</dc:title>
  <dc:creator/>
  <dc:language>en</dc:language>
  <cp:keywords/>
  <dcterms:created xsi:type="dcterms:W3CDTF">2026-07-23T16:04:50Z</dcterms:created>
  <dcterms:modified xsi:type="dcterms:W3CDTF">2026-07-23T16:04:50Z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