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Sales</w:t>
      </w:r>
      <w:r>
        <w:t xml:space="preserve"> </w:t>
      </w:r>
      <w:r>
        <w:t xml:space="preserve">Report:</w:t>
      </w:r>
      <w:r>
        <w:t xml:space="preserve"> </w:t>
      </w:r>
      <w:r>
        <w:t xml:space="preserve">Banking</w:t>
      </w:r>
      <w:r>
        <w:t xml:space="preserve"> </w:t>
      </w:r>
      <w:r>
        <w:t xml:space="preserve">Excellence</w:t>
      </w:r>
    </w:p>
    <w:bookmarkStart w:id="29" w:name="X2aee40e749acd084ff982c089dbfb1b0f9f91c6"/>
    <w:p>
      <w:pPr>
        <w:pStyle w:val="Heading1"/>
      </w:pPr>
      <w:r>
        <w:t xml:space="preserve">SALES REPORT FOR KUWAIT CITY BANKING EXCELLENCE</w:t>
      </w:r>
    </w:p>
    <w:p>
      <w:pPr>
        <w:pStyle w:val="FirstParagraph"/>
      </w:pPr>
      <w:r>
        <w:t xml:space="preserve">Prepared for Senior Management | Kuwait City Banking Division | Q3 2023</w:t>
      </w:r>
    </w:p>
    <w:bookmarkStart w:id="20" w:name="executive-summary"/>
    <w:p>
      <w:pPr>
        <w:pStyle w:val="Heading2"/>
      </w:pPr>
      <w:r>
        <w:t xml:space="preserve">Executive Summary</w:t>
      </w:r>
    </w:p>
    <w:p>
      <w:pPr>
        <w:pStyle w:val="FirstParagraph"/>
      </w:pPr>
      <w:r>
        <w:t xml:space="preserve">This comprehensive Sales Report details the outstanding performance of our banking team in Kuwait City, with particular emphasis on the strategic contributions of our dedicated Banker representatives. As the financial nerve center of Kuwait, Kuwait City demands exceptional service standards that align with national economic goals and international banking excellence. Our Sales Report reveals a 22% year-over-year increase in client acquisition and a 17% growth in portfolio value within this critical market, directly attributable to the expertise of our Banker professionals operating across key districts including Central Business District, Salmiya, and Al-Sabahia.</w:t>
      </w:r>
    </w:p>
    <w:bookmarkEnd w:id="20"/>
    <w:bookmarkStart w:id="21" w:name="market-context-in-kuwait-city"/>
    <w:p>
      <w:pPr>
        <w:pStyle w:val="Heading2"/>
      </w:pPr>
      <w:r>
        <w:t xml:space="preserve">Market Context in Kuwait City</w:t>
      </w:r>
    </w:p>
    <w:p>
      <w:pPr>
        <w:pStyle w:val="FirstParagraph"/>
      </w:pPr>
      <w:r>
        <w:t xml:space="preserve">Kuwait City remains the undisputed financial capital of Kuwait, hosting over 65% of all banking operations in the country. With its strategic location between the Persian Gulf and global trade routes, this dynamic metropolis requires banking solutions that balance traditional customer service with digital innovation. The local economy's resilience—supported by sovereign wealth funds and diversification initiatives—creates a fertile ground for our Banker team to deliver tailored financial products. This Sales Report confirms that our market share in Kuwait City has grown from 14.2% to 16.8% this quarter, outperforming regional competitors through personalized banking strategies.</w:t>
      </w:r>
    </w:p>
    <w:bookmarkEnd w:id="21"/>
    <w:bookmarkStart w:id="22" w:name="banker-performance-highlights"/>
    <w:p>
      <w:pPr>
        <w:pStyle w:val="Heading2"/>
      </w:pPr>
      <w:r>
        <w:t xml:space="preserve">Banker Performance Highlights</w:t>
      </w:r>
    </w:p>
    <w:p>
      <w:pPr>
        <w:pStyle w:val="FirstParagraph"/>
      </w:pPr>
      <w:r>
        <w:t xml:space="preserve">The cornerstone of our success in Kuwait City is the professionalism demonstrated by each Banker assigned to this strategic market. Our Sales Report quantifies their impact:</w:t>
      </w:r>
    </w:p>
    <w:p>
      <w:pPr>
        <w:numPr>
          <w:ilvl w:val="0"/>
          <w:numId w:val="1001"/>
        </w:numPr>
        <w:pStyle w:val="Compact"/>
      </w:pPr>
      <w:r>
        <w:rPr>
          <w:bCs/>
          <w:b/>
        </w:rPr>
        <w:t xml:space="preserve">Client Acquisition:</w:t>
      </w:r>
      <w:r>
        <w:t xml:space="preserve"> </w:t>
      </w:r>
      <w:r>
        <w:t xml:space="preserve">487 new high-net-worth clients acquired in Kuwait City (31% above target), with Bankers conducting 1,245 personalized financial consultations across corporate and retail segments.</w:t>
      </w:r>
    </w:p>
    <w:p>
      <w:pPr>
        <w:numPr>
          <w:ilvl w:val="0"/>
          <w:numId w:val="1001"/>
        </w:numPr>
        <w:pStyle w:val="Compact"/>
      </w:pPr>
      <w:r>
        <w:rPr>
          <w:bCs/>
          <w:b/>
        </w:rPr>
        <w:t xml:space="preserve">Product Penetration:</w:t>
      </w:r>
      <w:r>
        <w:t xml:space="preserve"> </w:t>
      </w:r>
      <w:r>
        <w:t xml:space="preserve">Strategic introduction of Islamic banking solutions increased by 38% following Banker-led workshops at major Kuwait City business hubs like the Kuwait International Airport Business Park.</w:t>
      </w:r>
    </w:p>
    <w:p>
      <w:pPr>
        <w:numPr>
          <w:ilvl w:val="0"/>
          <w:numId w:val="1001"/>
        </w:numPr>
        <w:pStyle w:val="Compact"/>
      </w:pPr>
      <w:r>
        <w:rPr>
          <w:bCs/>
          <w:b/>
        </w:rPr>
        <w:t xml:space="preserve">Sales Conversion Rate:</w:t>
      </w:r>
      <w:r>
        <w:t xml:space="preserve"> </w:t>
      </w:r>
      <w:r>
        <w:t xml:space="preserve">67%—surpassing the regional average of 52%—attributed to Bankers' deep understanding of Kuwaiti business culture and regulatory environment.</w:t>
      </w:r>
    </w:p>
    <w:bookmarkEnd w:id="22"/>
    <w:bookmarkStart w:id="25" w:name="kuwait-city-specific-sales-strategies"/>
    <w:p>
      <w:pPr>
        <w:pStyle w:val="Heading2"/>
      </w:pPr>
      <w:r>
        <w:t xml:space="preserve">Kuwait City-Specific Sales Strategies</w:t>
      </w:r>
    </w:p>
    <w:p>
      <w:pPr>
        <w:pStyle w:val="FirstParagraph"/>
      </w:pPr>
      <w:r>
        <w:t xml:space="preserve">Our Banker team has implemented market-specific tactics that resonate with Kuwait City's unique commercial landscape:</w:t>
      </w:r>
    </w:p>
    <w:bookmarkStart w:id="23" w:name="cultural-intelligence-integration"/>
    <w:p>
      <w:pPr>
        <w:pStyle w:val="Heading3"/>
      </w:pPr>
      <w:r>
        <w:t xml:space="preserve">Cultural Intelligence Integration</w:t>
      </w:r>
    </w:p>
    <w:p>
      <w:pPr>
        <w:pStyle w:val="FirstParagraph"/>
      </w:pPr>
      <w:r>
        <w:t xml:space="preserve">In Kuwait City, relationship-building precedes transactional success. Each Banker dedicates 15+ hours weekly to community engagement—attending Al-Sabahia business forums, supporting National Day celebrations at the Kuwait Towers, and participating in Iftar gatherings during Ramadan. This cultural immersion directly translates to a 40% increase in client retention rates among our Kuwait City portfolio.</w:t>
      </w:r>
    </w:p>
    <w:bookmarkEnd w:id="23"/>
    <w:bookmarkStart w:id="24" w:name="digital-transformation-leadership"/>
    <w:p>
      <w:pPr>
        <w:pStyle w:val="Heading3"/>
      </w:pPr>
      <w:r>
        <w:t xml:space="preserve">Digital Transformation Leadership</w:t>
      </w:r>
    </w:p>
    <w:p>
      <w:pPr>
        <w:pStyle w:val="FirstParagraph"/>
      </w:pPr>
      <w:r>
        <w:t xml:space="preserve">Recognizing Kuwait City's rapid digital adoption, our Banker team pioneered the "Smart Banking Hub" initiative. This Sales Report highlights 89% of Kuwait City clients now utilize our mobile banking platform—driven by Bankers conducting personalized onboarding sessions at corporate offices across Doha Street and Al-Ahmadi neighborhoods.</w:t>
      </w:r>
    </w:p>
    <w:bookmarkEnd w:id="24"/>
    <w:bookmarkEnd w:id="25"/>
    <w:bookmarkStart w:id="26" w:name="overcoming-local-challenges"/>
    <w:p>
      <w:pPr>
        <w:pStyle w:val="Heading2"/>
      </w:pPr>
      <w:r>
        <w:t xml:space="preserve">Overcoming Local Challenges</w:t>
      </w:r>
    </w:p>
    <w:p>
      <w:pPr>
        <w:pStyle w:val="FirstParagraph"/>
      </w:pPr>
      <w:r>
        <w:t xml:space="preserve">Operating in Kuwait City presents distinct challenges that our Banker professionals have mastered:</w:t>
      </w:r>
    </w:p>
    <w:p>
      <w:pPr>
        <w:numPr>
          <w:ilvl w:val="0"/>
          <w:numId w:val="1002"/>
        </w:numPr>
        <w:pStyle w:val="Compact"/>
      </w:pPr>
      <w:r>
        <w:rPr>
          <w:bCs/>
          <w:b/>
        </w:rPr>
        <w:t xml:space="preserve">Regulatory Navigation:</w:t>
      </w:r>
      <w:r>
        <w:t xml:space="preserve"> </w:t>
      </w:r>
      <w:r>
        <w:t xml:space="preserve">Navigating Central Bank of Kuwait (CBK) guidelines through specialized training—Bankers achieved 100% compliance in new KYC protocols, avoiding $2.3M in potential penalties.</w:t>
      </w:r>
    </w:p>
    <w:p>
      <w:pPr>
        <w:numPr>
          <w:ilvl w:val="0"/>
          <w:numId w:val="1002"/>
        </w:numPr>
        <w:pStyle w:val="Compact"/>
      </w:pPr>
      <w:r>
        <w:rPr>
          <w:bCs/>
          <w:b/>
        </w:rPr>
        <w:t xml:space="preserve">Seasonal Demand Peaks:</w:t>
      </w:r>
      <w:r>
        <w:t xml:space="preserve"> </w:t>
      </w:r>
      <w:r>
        <w:t xml:space="preserve">Successfully managing the Q4 end-of-year financial surge with dedicated Kuwait City Banker task forces, handling 28% more transactions during Ramadan without service degradation.</w:t>
      </w:r>
    </w:p>
    <w:bookmarkEnd w:id="26"/>
    <w:bookmarkStart w:id="27" w:name="future-strategic-roadmap-for-kuwait-city"/>
    <w:p>
      <w:pPr>
        <w:pStyle w:val="Heading2"/>
      </w:pPr>
      <w:r>
        <w:t xml:space="preserve">Future Strategic Roadmap for Kuwait City</w:t>
      </w:r>
    </w:p>
    <w:p>
      <w:pPr>
        <w:pStyle w:val="FirstParagraph"/>
      </w:pPr>
      <w:r>
        <w:t xml:space="preserve">Based on this Sales Report, we recommend three priority initiatives to sustain our Banker-driven success in Kuwait City:</w:t>
      </w:r>
    </w:p>
    <w:p>
      <w:pPr>
        <w:numPr>
          <w:ilvl w:val="0"/>
          <w:numId w:val="1003"/>
        </w:numPr>
        <w:pStyle w:val="Compact"/>
      </w:pPr>
      <w:r>
        <w:rPr>
          <w:bCs/>
          <w:b/>
        </w:rPr>
        <w:t xml:space="preserve">Expansion into New Business Corridors:</w:t>
      </w:r>
      <w:r>
        <w:t xml:space="preserve"> </w:t>
      </w:r>
      <w:r>
        <w:t xml:space="preserve">Targeting the emerging Al-Shuwaikh industrial zone with specialized trade finance packages, leveraging Bankers' relationships with local manufacturers.</w:t>
      </w:r>
    </w:p>
    <w:p>
      <w:pPr>
        <w:numPr>
          <w:ilvl w:val="0"/>
          <w:numId w:val="1003"/>
        </w:numPr>
        <w:pStyle w:val="Compact"/>
      </w:pPr>
      <w:r>
        <w:rPr>
          <w:bCs/>
          <w:b/>
        </w:rPr>
        <w:t xml:space="preserve">AI-Powered Client Insights:</w:t>
      </w:r>
      <w:r>
        <w:t xml:space="preserve"> </w:t>
      </w:r>
      <w:r>
        <w:t xml:space="preserve">Deploying predictive analytics tools that will empower Bankers to anticipate Kuwait City client needs (e.g., pre-emptive credit limit adjustments for construction firms during infrastructure projects).</w:t>
      </w:r>
    </w:p>
    <w:p>
      <w:pPr>
        <w:numPr>
          <w:ilvl w:val="0"/>
          <w:numId w:val="1003"/>
        </w:numPr>
        <w:pStyle w:val="Compact"/>
      </w:pPr>
      <w:r>
        <w:rPr>
          <w:bCs/>
          <w:b/>
        </w:rPr>
        <w:t xml:space="preserve">Culture-First Training Enhancement:</w:t>
      </w:r>
      <w:r>
        <w:t xml:space="preserve"> </w:t>
      </w:r>
      <w:r>
        <w:t xml:space="preserve">Developing "Kuwait City Cultural Immersion" modules for all Bankers, including Arabic financial terminology certification and local business etiquette simulations.</w:t>
      </w:r>
    </w:p>
    <w:bookmarkEnd w:id="27"/>
    <w:bookmarkStart w:id="28" w:name="X48bbafcb04c49e80baf2af31272b306cee725c6"/>
    <w:p>
      <w:pPr>
        <w:pStyle w:val="Heading2"/>
      </w:pPr>
      <w:r>
        <w:t xml:space="preserve">Conclusion: The Banker as Kuwait City's Financial Partner</w:t>
      </w:r>
    </w:p>
    <w:p>
      <w:pPr>
        <w:pStyle w:val="FirstParagraph"/>
      </w:pPr>
      <w:r>
        <w:t xml:space="preserve">This Sales Report unequivocally demonstrates that our Banker professionals are not merely sales representatives but strategic partners in Kuwait City's economic ecosystem. Their deep understanding of local market dynamics—from the nuances of Al-Ahmadi commercial transactions to the sophisticated needs of Gulf Corporation Council members—has positioned us as the preferred banking partner for 3,200+ Kuwait City enterprises. As we look ahead, every Banker in this division will be evaluated on their ability to drive "Kuwait City Impact": measured by client success stories, market share growth, and contribution to national financial inclusion goals.</w:t>
      </w:r>
    </w:p>
    <w:p>
      <w:pPr>
        <w:pStyle w:val="BodyText"/>
      </w:pPr>
      <w:r>
        <w:t xml:space="preserve">"In Kuwait City, banking excellence isn't delivered—it's co-created with the Banker as the trusted catalyst for our clients' financial journeys. This Sales Report proves that when local expertise meets global standards, Kuwait City becomes not just a market, but a legacy of partnership."</w:t>
      </w:r>
    </w:p>
    <w:p>
      <w:pPr>
        <w:pStyle w:val="BodyText"/>
      </w:pPr>
      <w:r>
        <w:t xml:space="preserve">Prepared by: Global Banking Analytics Division</w:t>
      </w:r>
    </w:p>
    <w:p>
      <w:pPr>
        <w:pStyle w:val="BodyText"/>
      </w:pPr>
      <w:r>
        <w:t xml:space="preserve">Date: October 26, 2023 | For Kuwait City Branch Leadership Team</w:t>
      </w:r>
    </w:p>
    <w:p>
      <w:pPr>
        <w:pStyle w:val="BodyText"/>
      </w:pPr>
      <w:r>
        <w:t xml:space="preserve">© 2023 Al Kuwaiti International Bank | Sales Report Confidential</w:t>
      </w:r>
    </w:p>
    <w:p>
      <w:pPr>
        <w:pStyle w:val="BodyText"/>
      </w:pPr>
      <w:r>
        <w:t xml:space="preserve">Kuwait City, Kuwait | Empowering Financial Futures Since 1964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Sales Report: Banking Excellence</dc:title>
  <dc:creator/>
  <dc:language>en</dc:language>
  <cp:keywords/>
  <dcterms:created xsi:type="dcterms:W3CDTF">2026-07-23T22:56:06Z</dcterms:created>
  <dcterms:modified xsi:type="dcterms:W3CDTF">2026-07-23T22:56:06Z</dcterms:modified>
</cp:coreProperties>
</file>

<file path=docProps/custom.xml><?xml version="1.0" encoding="utf-8"?>
<Properties xmlns="http://schemas.openxmlformats.org/officeDocument/2006/custom-properties" xmlns:vt="http://schemas.openxmlformats.org/officeDocument/2006/docPropsVTypes"/>
</file>