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Malaysia</w:t>
      </w:r>
      <w:r>
        <w:t xml:space="preserve"> </w:t>
      </w:r>
      <w:r>
        <w:t xml:space="preserve">Kuala</w:t>
      </w:r>
      <w:r>
        <w:t xml:space="preserve"> </w:t>
      </w:r>
      <w:r>
        <w:t xml:space="preserve">Lumpur</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Analysis</w:t>
      </w:r>
    </w:p>
    <w:bookmarkStart w:id="27" w:name="Xc7ebbbd7066ba517e8baa9f44b3c3f19be56bd2"/>
    <w:p>
      <w:pPr>
        <w:pStyle w:val="Heading1"/>
      </w:pPr>
      <w:r>
        <w:t xml:space="preserve">Monthly Sales Report for Banking Operations in Malaysia Kuala Lumpur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Malaysian Banking Division</w:t>
      </w:r>
      <w:r>
        <w:br/>
      </w:r>
      <w:r>
        <w:rPr>
          <w:bCs/>
          <w:b/>
        </w:rPr>
        <w:t xml:space="preserve">Prepared By:</w:t>
      </w:r>
      <w:r>
        <w:t xml:space="preserve"> </w:t>
      </w:r>
      <w:r>
        <w:t xml:space="preserve">Regional Sales Analytics Team, Kuala Lumpur Office</w:t>
      </w:r>
    </w:p>
    <w:bookmarkStart w:id="20" w:name="executive-summary"/>
    <w:p>
      <w:pPr>
        <w:pStyle w:val="Heading2"/>
      </w:pPr>
      <w:r>
        <w:t xml:space="preserve">Executive Summary</w:t>
      </w:r>
    </w:p>
    <w:p>
      <w:pPr>
        <w:pStyle w:val="FirstParagraph"/>
      </w:pPr>
      <w:r>
        <w:t xml:space="preserve">This comprehensive Sales Report evaluates the performance of our banking operations across Malaysia Kuala Lumpur during Q3 2023. As a premier financial institution serving the dynamic Malaysian market, our team of dedicated Banker professionals achieved significant growth in client acquisition and portfolio value. This document underscores how strategic initiatives led by each Banker have directly contributed to a 18.7% year-over-year increase in new account openings within Kuala Lumpur's competitive landscape. The Sales Report demonstrates that our localized approach to financial services, tailored specifically for Malaysia Kuala Lumpur's economic ecosystem, has positioned us as the preferred banking partner for both corporate and retail clients.</w:t>
      </w:r>
    </w:p>
    <w:bookmarkEnd w:id="20"/>
    <w:bookmarkStart w:id="21" w:name="Xc03abdb5f7db093872861dee067a5c6539df331"/>
    <w:p>
      <w:pPr>
        <w:pStyle w:val="Heading2"/>
      </w:pPr>
      <w:r>
        <w:t xml:space="preserve">Performance Metrics: Malaysia Kuala Lumpur Focus</w:t>
      </w:r>
    </w:p>
    <w:p>
      <w:pPr>
        <w:pStyle w:val="FirstParagraph"/>
      </w:pPr>
      <w:r>
        <w:t xml:space="preserve">The Sales Report reveals exceptional performance in Kuala Lumpur's key districts including Petaling Jaya, Bangsar, and the Central Business District. Our Banker teams surpassed quarterly targets by 14.3%, securing 1,857 new high-net-worth client accounts (vs. target of 1,625) and generating RM328 million in new business volume. Notably, the corporate banking segment achieved a remarkable 27% growth in Kuala Lumpur's commercial real estate sector partnerships – a direct result of our Banker's specialized market knowledge.</w:t>
      </w:r>
    </w:p>
    <w:p>
      <w:pPr>
        <w:pStyle w:val="BodyText"/>
      </w:pPr>
      <w:r>
        <w:t xml:space="preserve">Client retention rates reached 94.6%, significantly above the industry average of 88.2%. This success stems from personalized service protocols developed by our Kuala Lumpur-based Banker teams who understand local business culture, regulatory nuances, and economic trends unique to Malaysia. The Sales Report highlights that clients specifically cited "cultural competence" and "localized financial solutions" as primary reasons for continued partnership with our institution.</w:t>
      </w:r>
    </w:p>
    <w:bookmarkEnd w:id="21"/>
    <w:bookmarkStart w:id="22" w:name="X09d8b5fafcd7854ce0394caf6a3a7114618ae8f"/>
    <w:p>
      <w:pPr>
        <w:pStyle w:val="Heading2"/>
      </w:pPr>
      <w:r>
        <w:t xml:space="preserve">Strategic Initiatives Driven by Our Kuala Lumpur Banker Team</w:t>
      </w:r>
    </w:p>
    <w:p>
      <w:pPr>
        <w:pStyle w:val="FirstParagraph"/>
      </w:pPr>
      <w:r>
        <w:t xml:space="preserve">Central to our success was the implementation of the "KL Banking Excellence Framework," a client-centric model developed exclusively for Malaysia Kuala Lumpur by our regional Banker leadership. Key initiatives included:</w:t>
      </w:r>
    </w:p>
    <w:p>
      <w:pPr>
        <w:numPr>
          <w:ilvl w:val="0"/>
          <w:numId w:val="1001"/>
        </w:numPr>
        <w:pStyle w:val="Compact"/>
      </w:pPr>
      <w:r>
        <w:rPr>
          <w:bCs/>
          <w:b/>
        </w:rPr>
        <w:t xml:space="preserve">Kuala Lumpur SME Acceleration Program:</w:t>
      </w:r>
      <w:r>
        <w:t xml:space="preserve"> </w:t>
      </w:r>
      <w:r>
        <w:t xml:space="preserve">Targeted support for local manufacturers and export businesses through customized financing solutions. Our Banker teams conducted 218 industry-specific workshops across KL, directly contributing to RM98 million in new SME loans.</w:t>
      </w:r>
    </w:p>
    <w:p>
      <w:pPr>
        <w:numPr>
          <w:ilvl w:val="0"/>
          <w:numId w:val="1001"/>
        </w:numPr>
        <w:pStyle w:val="Compact"/>
      </w:pPr>
      <w:r>
        <w:rPr>
          <w:bCs/>
          <w:b/>
        </w:rPr>
        <w:t xml:space="preserve">Digital Transformation Integration:</w:t>
      </w:r>
      <w:r>
        <w:t xml:space="preserve"> </w:t>
      </w:r>
      <w:r>
        <w:t xml:space="preserve">Launch of the "KL Connect" mobile banking platform with Malay-language interface and Ramadan/Eid financial planning tools – features developed after deep market analysis by our Kuala Lumpur Banker team. This initiative increased digital adoption by 39% among local clients.</w:t>
      </w:r>
    </w:p>
    <w:p>
      <w:pPr>
        <w:numPr>
          <w:ilvl w:val="0"/>
          <w:numId w:val="1001"/>
        </w:numPr>
        <w:pStyle w:val="Compact"/>
      </w:pPr>
      <w:r>
        <w:rPr>
          <w:bCs/>
          <w:b/>
        </w:rPr>
        <w:t xml:space="preserve">Cultural Advisory Council:</w:t>
      </w:r>
      <w:r>
        <w:t xml:space="preserve"> </w:t>
      </w:r>
      <w:r>
        <w:t xml:space="preserve">Establishing a client advisory group comprising prominent Kuala Lumpur business leaders to co-design products. The Sales Report notes that 83% of new products launched in Q3 were directly influenced by this council, resulting in higher client satisfaction scores (4.7/5 vs. industry average 4.1).</w:t>
      </w:r>
    </w:p>
    <w:bookmarkEnd w:id="22"/>
    <w:bookmarkStart w:id="23" w:name="X433ab8e87d87cb5dee8fc672ab5536226ad280a"/>
    <w:p>
      <w:pPr>
        <w:pStyle w:val="Heading2"/>
      </w:pPr>
      <w:r>
        <w:t xml:space="preserve">Market Analysis: Understanding Malaysia Kuala Lumpur's Financial Landscape</w:t>
      </w:r>
    </w:p>
    <w:p>
      <w:pPr>
        <w:pStyle w:val="FirstParagraph"/>
      </w:pPr>
      <w:r>
        <w:t xml:space="preserve">Malaysia Kuala Lumpur presents a unique banking environment characterized by rapid digital adoption, strong corporate sector growth in tech and green energy, and evolving consumer expectations. The Sales Report identifies three critical market shifts impacting our operations:</w:t>
      </w:r>
    </w:p>
    <w:p>
      <w:pPr>
        <w:numPr>
          <w:ilvl w:val="0"/>
          <w:numId w:val="1002"/>
        </w:numPr>
        <w:pStyle w:val="Compact"/>
      </w:pPr>
      <w:r>
        <w:rPr>
          <w:bCs/>
          <w:b/>
        </w:rPr>
        <w:t xml:space="preserve">Regulatory Shifts:</w:t>
      </w:r>
      <w:r>
        <w:t xml:space="preserve"> </w:t>
      </w:r>
      <w:r>
        <w:t xml:space="preserve">Bank Negara Malaysia's new Sustainable Finance Framework prompted our Kuala Lumpur Banker teams to develop ESG-compliant investment products, capturing 22% of the new sustainable finance market in KL within six months.</w:t>
      </w:r>
    </w:p>
    <w:p>
      <w:pPr>
        <w:numPr>
          <w:ilvl w:val="0"/>
          <w:numId w:val="1002"/>
        </w:numPr>
        <w:pStyle w:val="Compact"/>
      </w:pPr>
      <w:r>
        <w:rPr>
          <w:bCs/>
          <w:b/>
        </w:rPr>
        <w:t xml:space="preserve">Digital Competition:</w:t>
      </w:r>
      <w:r>
        <w:t xml:space="preserve"> </w:t>
      </w:r>
      <w:r>
        <w:t xml:space="preserve">The rise of fintech startups necessitated our Banker professionals to deepen their digital literacy. Quarterly training for all Kuala Lumpur-based Banker staff resulted in a 40% reduction in client onboarding time.</w:t>
      </w:r>
    </w:p>
    <w:p>
      <w:pPr>
        <w:numPr>
          <w:ilvl w:val="0"/>
          <w:numId w:val="1002"/>
        </w:numPr>
        <w:pStyle w:val="Compact"/>
      </w:pPr>
      <w:r>
        <w:rPr>
          <w:bCs/>
          <w:b/>
        </w:rPr>
        <w:t xml:space="preserve">Economic Diversification:</w:t>
      </w:r>
      <w:r>
        <w:t xml:space="preserve"> </w:t>
      </w:r>
      <w:r>
        <w:t xml:space="preserve">As Kuala Lumpur transitions from oil-dependent economy to technology hub, our Banker teams successfully pivoted focus toward tech startup funding, securing 37 new partnerships with KL-based unicorns.</w:t>
      </w:r>
    </w:p>
    <w:bookmarkEnd w:id="23"/>
    <w:bookmarkStart w:id="24" w:name="challenges-and-resolution-strategies"/>
    <w:p>
      <w:pPr>
        <w:pStyle w:val="Heading2"/>
      </w:pPr>
      <w:r>
        <w:t xml:space="preserve">Challenges and Resolution Strategies</w:t>
      </w:r>
    </w:p>
    <w:p>
      <w:pPr>
        <w:pStyle w:val="FirstParagraph"/>
      </w:pPr>
      <w:r>
        <w:t xml:space="preserve">The Sales Report acknowledges challenges faced during the quarter. Inflation concerns caused temporary hesitation among retail clients, while complex cross-border transactions for Kuala Lumpur's international firms created processing delays. Our response was led by the Banker teams through:</w:t>
      </w:r>
    </w:p>
    <w:p>
      <w:pPr>
        <w:numPr>
          <w:ilvl w:val="0"/>
          <w:numId w:val="1003"/>
        </w:numPr>
        <w:pStyle w:val="Compact"/>
      </w:pPr>
      <w:r>
        <w:t xml:space="preserve">Implementing "Inflation Shield" savings products with competitive rates, directly addressing client concerns.</w:t>
      </w:r>
    </w:p>
    <w:p>
      <w:pPr>
        <w:numPr>
          <w:ilvl w:val="0"/>
          <w:numId w:val="1003"/>
        </w:numPr>
        <w:pStyle w:val="Compact"/>
      </w:pPr>
      <w:r>
        <w:t xml:space="preserve">Establishing a dedicated KL Cross-Border Unit staffed by bilingual (Malay/English) Banker specialists, reducing transaction processing time from 72 to 18 hours.</w:t>
      </w:r>
    </w:p>
    <w:bookmarkEnd w:id="24"/>
    <w:bookmarkStart w:id="25" w:name="Xeebf0c0ebe1e673ae6bea908f86713c4d8d1705"/>
    <w:p>
      <w:pPr>
        <w:pStyle w:val="Heading2"/>
      </w:pPr>
      <w:r>
        <w:t xml:space="preserve">Future Strategy: Sustaining Growth in Malaysia Kuala Lumpur</w:t>
      </w:r>
    </w:p>
    <w:p>
      <w:pPr>
        <w:pStyle w:val="FirstParagraph"/>
      </w:pPr>
      <w:r>
        <w:t xml:space="preserve">Based on this Sales Report, our strategy for Q4 focuses on three pillars:</w:t>
      </w:r>
    </w:p>
    <w:p>
      <w:pPr>
        <w:numPr>
          <w:ilvl w:val="0"/>
          <w:numId w:val="1004"/>
        </w:numPr>
        <w:pStyle w:val="Compact"/>
      </w:pPr>
      <w:r>
        <w:rPr>
          <w:bCs/>
          <w:b/>
        </w:rPr>
        <w:t xml:space="preserve">Hyper-Local Expansion:</w:t>
      </w:r>
      <w:r>
        <w:t xml:space="preserve"> </w:t>
      </w:r>
      <w:r>
        <w:t xml:space="preserve">Deploying 15 new Banker specialists across emerging KL districts (e.g., Cyberjaya and Puchong) to capture the growing middle-class market.</w:t>
      </w:r>
    </w:p>
    <w:p>
      <w:pPr>
        <w:numPr>
          <w:ilvl w:val="0"/>
          <w:numId w:val="1004"/>
        </w:numPr>
        <w:pStyle w:val="Compact"/>
      </w:pPr>
      <w:r>
        <w:rPr>
          <w:bCs/>
          <w:b/>
        </w:rPr>
        <w:t xml:space="preserve">Sustainable Banking Leadership:</w:t>
      </w:r>
      <w:r>
        <w:t xml:space="preserve"> </w:t>
      </w:r>
      <w:r>
        <w:t xml:space="preserve">Launching Malaysia's first green bond platform for Kuala Lumpur real estate developers, with dedicated Banker teams certified in sustainability finance.</w:t>
      </w:r>
    </w:p>
    <w:p>
      <w:pPr>
        <w:numPr>
          <w:ilvl w:val="0"/>
          <w:numId w:val="1004"/>
        </w:numPr>
        <w:pStyle w:val="Compact"/>
      </w:pPr>
      <w:r>
        <w:rPr>
          <w:bCs/>
          <w:b/>
        </w:rPr>
        <w:t xml:space="preserve">Tech-Enhanced Relationships:</w:t>
      </w:r>
      <w:r>
        <w:t xml:space="preserve"> </w:t>
      </w:r>
      <w:r>
        <w:t xml:space="preserve">Integrating AI-driven client analytics into our KL Banker workflow to predict needs 6 months in advance, building on the foundation established by this Sales Report's data insights.</w:t>
      </w:r>
    </w:p>
    <w:bookmarkEnd w:id="25"/>
    <w:bookmarkStart w:id="26" w:name="conclusion"/>
    <w:p>
      <w:pPr>
        <w:pStyle w:val="Heading2"/>
      </w:pPr>
      <w:r>
        <w:t xml:space="preserve">Conclusion</w:t>
      </w:r>
    </w:p>
    <w:p>
      <w:pPr>
        <w:pStyle w:val="FirstParagraph"/>
      </w:pPr>
      <w:r>
        <w:t xml:space="preserve">This Sales Report confirms that our Malaysia Kuala Lumpur operations are setting industry benchmarks through the expertise of our Banker professionals. By embedding cultural intelligence into every client interaction and leveraging market-specific insights, we've transformed from a regional player to a strategic financial partner for KL's evolving economy. The data clearly demonstrates that when Banker teams understand local context – whether navigating KL's regulatory environment or adapting to Malay business etiquette – they drive exceptional results.</w:t>
      </w:r>
    </w:p>
    <w:p>
      <w:pPr>
        <w:pStyle w:val="BodyText"/>
      </w:pPr>
      <w:r>
        <w:t xml:space="preserve">Looking ahead, we commit to maintaining this momentum through continuous market intelligence gathering and empowering each Banker with tools tailored for Malaysia Kuala Lumpur's unique financial ecosystem. As the Sales Report concludes, our focus remains on ensuring every client experience in Kuala Lumpur reflects the highest standards of service excellence that defines our banking reputation across Malaysia.</w:t>
      </w:r>
    </w:p>
    <w:p>
      <w:pPr>
        <w:pStyle w:val="BodyText"/>
      </w:pPr>
      <w:r>
        <w:rPr>
          <w:bCs/>
          <w:b/>
        </w:rPr>
        <w:t xml:space="preserve">Recommendation:</w:t>
      </w:r>
      <w:r>
        <w:t xml:space="preserve"> </w:t>
      </w:r>
      <w:r>
        <w:t xml:space="preserve">Approve additional budget allocation of RM5.2 million for Q4 to expand KL's Banker team by 25% and accelerate sustainable finance product development, directly aligned with this Sales Report's performance metrics and market analysis.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Malaysia Kuala Lumpur Sales Report: Banking Performance Analysis</dc:title>
  <dc:creator/>
  <dc:language>en</dc:language>
  <cp:keywords/>
  <dcterms:created xsi:type="dcterms:W3CDTF">2026-07-23T22:32:03Z</dcterms:created>
  <dcterms:modified xsi:type="dcterms:W3CDTF">2026-07-23T22:32:03Z</dcterms:modified>
</cp:coreProperties>
</file>

<file path=docProps/custom.xml><?xml version="1.0" encoding="utf-8"?>
<Properties xmlns="http://schemas.openxmlformats.org/officeDocument/2006/custom-properties" xmlns:vt="http://schemas.openxmlformats.org/officeDocument/2006/docPropsVTypes"/>
</file>