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Banker</w:t>
      </w:r>
      <w:r>
        <w:t xml:space="preserve"> </w:t>
      </w:r>
      <w:r>
        <w:t xml:space="preserve">Sales</w:t>
      </w:r>
      <w:r>
        <w:t xml:space="preserve"> </w:t>
      </w:r>
      <w:r>
        <w:t xml:space="preserve">Report</w:t>
      </w:r>
      <w:r>
        <w:t xml:space="preserve"> </w:t>
      </w:r>
      <w:r>
        <w:t xml:space="preserve">-</w:t>
      </w:r>
      <w:r>
        <w:t xml:space="preserve"> </w:t>
      </w:r>
      <w:r>
        <w:t xml:space="preserve">Mexico</w:t>
      </w:r>
      <w:r>
        <w:t xml:space="preserve"> </w:t>
      </w:r>
      <w:r>
        <w:t xml:space="preserve">City</w:t>
      </w:r>
      <w:r>
        <w:t xml:space="preserve"> </w:t>
      </w:r>
      <w:r>
        <w:t xml:space="preserve">Market</w:t>
      </w:r>
    </w:p>
    <w:bookmarkStart w:id="27" w:name="X8d5df1ae29a2a2ed02e9b77cc326bc102a55917"/>
    <w:p>
      <w:pPr>
        <w:pStyle w:val="Heading1"/>
      </w:pPr>
      <w:r>
        <w:t xml:space="preserve">Sales Report for Banking Operations in Mexico City</w:t>
      </w:r>
    </w:p>
    <w:p>
      <w:pPr>
        <w:pStyle w:val="FirstParagraph"/>
      </w:pPr>
      <w:r>
        <w:rPr>
          <w:bCs/>
          <w:b/>
        </w:rPr>
        <w:t xml:space="preserve">Prepared For:</w:t>
      </w:r>
      <w:r>
        <w:t xml:space="preserve"> </w:t>
      </w:r>
      <w:r>
        <w:t xml:space="preserve">Executive Management, Global Banking Division</w:t>
      </w:r>
    </w:p>
    <w:p>
      <w:pPr>
        <w:pStyle w:val="BodyText"/>
      </w:pPr>
      <w:r>
        <w:rPr>
          <w:bCs/>
          <w:b/>
        </w:rPr>
        <w:t xml:space="preserve">Date:</w:t>
      </w:r>
      <w:r>
        <w:t xml:space="preserve"> </w:t>
      </w:r>
      <w:r>
        <w:t xml:space="preserve">October 26, 2023</w:t>
      </w:r>
    </w:p>
    <w:p>
      <w:pPr>
        <w:pStyle w:val="BodyText"/>
      </w:pP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comprehensive Sales Report details the performance of our banking operations in Mexico City, Mexico's financial epicenter. The report highlights significant growth across all key segments, driven by strategic initiatives executed by our dedicated Banker team. As the premier financial hub in Latin America, Mexico City represents a critical market where our Banker professionals have demonstrated exceptional client acquisition and portfolio expansion. This Sales Report confirms that our localized approach in Mexico City has generated 18% YoY revenue growth, exceeding regional targets by 7 percentage points. The success underscores the strategic importance of maintaining a high-caliber Banker presence in this dynamic metropolis.</w:t>
      </w:r>
    </w:p>
    <w:bookmarkEnd w:id="20"/>
    <w:bookmarkStart w:id="21" w:name="key-performance-metrics-mexico-city"/>
    <w:p>
      <w:pPr>
        <w:pStyle w:val="Heading2"/>
      </w:pPr>
      <w:r>
        <w:t xml:space="preserve">Key Performance Metrics (Mexico City)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Commercial Loan Portfolio Growth</w:t>
            </w:r>
          </w:p>
        </w:tc>
        <w:tc>
          <w:tcPr/>
          <w:p>
            <w:pPr>
              <w:pStyle w:val="Compact"/>
              <w:jc w:val="left"/>
            </w:pPr>
            <w:r>
              <w:t xml:space="preserve">$142.5M</w:t>
            </w:r>
          </w:p>
        </w:tc>
        <w:tc>
          <w:tcPr/>
          <w:p>
            <w:pPr>
              <w:pStyle w:val="Compact"/>
              <w:jc w:val="left"/>
            </w:pPr>
            <w:r>
              <w:t xml:space="preserve">$128.3M</w:t>
            </w:r>
          </w:p>
        </w:tc>
        <w:tc>
          <w:tcPr/>
          <w:p>
            <w:pPr>
              <w:pStyle w:val="Compact"/>
              <w:jc w:val="left"/>
            </w:pPr>
            <w:r>
              <w:t xml:space="preserve">+16.9%</w:t>
            </w:r>
          </w:p>
        </w:tc>
      </w:tr>
      <w:tr>
        <w:tc>
          <w:tcPr/>
          <w:p>
            <w:pPr>
              <w:pStyle w:val="Compact"/>
              <w:jc w:val="left"/>
            </w:pPr>
            <w:r>
              <w:t xml:space="preserve">Corporate Client Acquisition</w:t>
            </w:r>
          </w:p>
        </w:tc>
        <w:tc>
          <w:tcPr/>
          <w:p>
            <w:pPr>
              <w:pStyle w:val="Compact"/>
              <w:jc w:val="left"/>
            </w:pPr>
            <w:r>
              <w:t xml:space="preserve">47 new clients</w:t>
            </w:r>
          </w:p>
        </w:tc>
        <w:tc>
          <w:tcPr/>
          <w:p>
            <w:pPr>
              <w:pStyle w:val="Compact"/>
              <w:jc w:val="left"/>
            </w:pPr>
            <w:r>
              <w:t xml:space="preserve">38 new clients</w:t>
            </w:r>
          </w:p>
        </w:tc>
        <w:tc>
          <w:tcPr/>
          <w:p>
            <w:pPr>
              <w:pStyle w:val="Compact"/>
              <w:jc w:val="left"/>
            </w:pPr>
            <w:r>
              <w:t xml:space="preserve">+23.7%</w:t>
            </w:r>
          </w:p>
        </w:tc>
      </w:tr>
      <w:tr>
        <w:tc>
          <w:tcPr/>
          <w:p>
            <w:pPr>
              <w:pStyle w:val="Compact"/>
              <w:jc w:val="left"/>
            </w:pPr>
            <w:r>
              <w:t xml:space="preserve">Wealth Management Assets Under Management (AUM)</w:t>
            </w:r>
          </w:p>
        </w:tc>
        <w:tc>
          <w:tcPr/>
          <w:p>
            <w:pPr>
              <w:pStyle w:val="Compact"/>
              <w:jc w:val="left"/>
            </w:pPr>
            <w:r>
              <w:t xml:space="preserve">$89.2M</w:t>
            </w:r>
          </w:p>
        </w:tc>
        <w:tc>
          <w:tcPr/>
          <w:p>
            <w:pPr>
              <w:pStyle w:val="Compact"/>
              <w:jc w:val="left"/>
            </w:pPr>
            <w:r>
              <w:t xml:space="preserve">$76.4M</w:t>
            </w:r>
          </w:p>
        </w:tc>
        <w:tc>
          <w:tcPr/>
          <w:p>
            <w:pPr>
              <w:pStyle w:val="Compact"/>
              <w:jc w:val="left"/>
            </w:pPr>
            <w:r>
              <w:t xml:space="preserve">+16.8%</w:t>
            </w:r>
          </w:p>
        </w:tc>
      </w:tr>
      <w:tr>
        <w:tc>
          <w:tcPr/>
          <w:p>
            <w:pPr>
              <w:pStyle w:val="Compact"/>
              <w:jc w:val="left"/>
            </w:pPr>
            <w:r>
              <w:t xml:space="preserve">Transaction Banking Volume</w:t>
            </w:r>
          </w:p>
        </w:tc>
        <w:tc>
          <w:tcPr/>
          <w:p>
            <w:pPr>
              <w:pStyle w:val="Compact"/>
              <w:jc w:val="left"/>
            </w:pPr>
            <w:r>
              <w:t xml:space="preserve">$3.2B</w:t>
            </w:r>
          </w:p>
        </w:tc>
        <w:tc>
          <w:tcPr/>
          <w:p>
            <w:pPr>
              <w:pStyle w:val="Compact"/>
              <w:jc w:val="left"/>
            </w:pPr>
            <w:r>
              <w:t xml:space="preserve">$2.9B</w:t>
            </w:r>
          </w:p>
        </w:tc>
        <w:tc>
          <w:tcPr/>
          <w:p>
            <w:pPr>
              <w:pStyle w:val="Compact"/>
              <w:jc w:val="left"/>
            </w:pPr>
            <w:r>
              <w:t xml:space="preserve">+10.3%</w:t>
            </w:r>
          </w:p>
        </w:tc>
      </w:tr>
    </w:tbl>
    <w:p>
      <w:pPr>
        <w:pStyle w:val="BodyText"/>
      </w:pPr>
      <w:r>
        <w:t xml:space="preserve">The Mexico City operations have consistently outperformed regional benchmarks, with our Banker team achieving 94% of quarterly sales targets. This success stems from hyper-localized strategies implemented within Mexico City's unique economic ecosystem. Notably, the Commercial Banking division delivered 22% growth in SME lending—directly attributed to our Banker's deep understanding of Mexico City's industrial corridors like Santa Fe and Polanco.</w:t>
      </w:r>
    </w:p>
    <w:bookmarkEnd w:id="21"/>
    <w:bookmarkStart w:id="22" w:name="market-analysis-strategic-insights"/>
    <w:p>
      <w:pPr>
        <w:pStyle w:val="Heading2"/>
      </w:pPr>
      <w:r>
        <w:t xml:space="preserve">Market Analysis &amp; Strategic Insights</w:t>
      </w:r>
    </w:p>
    <w:p>
      <w:pPr>
        <w:pStyle w:val="FirstParagraph"/>
      </w:pPr>
      <w:r>
        <w:t xml:space="preserve">Our Sales Report identifies Mexico City as the linchpin for Latin American banking expansion. The city's GDP growth of 3.2% in Q3 (vs national average of 1.9%) created fertile ground for our Banker initiatives. Key factors driving success include:</w:t>
      </w:r>
    </w:p>
    <w:p>
      <w:pPr>
        <w:numPr>
          <w:ilvl w:val="0"/>
          <w:numId w:val="1001"/>
        </w:numPr>
        <w:pStyle w:val="Compact"/>
      </w:pPr>
      <w:r>
        <w:rPr>
          <w:bCs/>
          <w:b/>
        </w:rPr>
        <w:t xml:space="preserve">Localized Client Engagement:</w:t>
      </w:r>
      <w:r>
        <w:t xml:space="preserve"> </w:t>
      </w:r>
      <w:r>
        <w:t xml:space="preserve">Our Banker professionals conducted 287 tailored business meetings across Mexico City's top industrial zones, directly addressing sector-specific challenges in manufacturing and logistics.</w:t>
      </w:r>
    </w:p>
    <w:p>
      <w:pPr>
        <w:numPr>
          <w:ilvl w:val="0"/>
          <w:numId w:val="1001"/>
        </w:numPr>
        <w:pStyle w:val="Compact"/>
      </w:pPr>
      <w:r>
        <w:rPr>
          <w:bCs/>
          <w:b/>
        </w:rPr>
        <w:t xml:space="preserve">Nexus with Local Institutions:</w:t>
      </w:r>
      <w:r>
        <w:t xml:space="preserve"> </w:t>
      </w:r>
      <w:r>
        <w:t xml:space="preserve">Strategic partnerships with Cámara Nacional de Comercio (CANC) and Banxico-certified financial hubs within Mexico City enabled rapid market entry for new products.</w:t>
      </w:r>
    </w:p>
    <w:p>
      <w:pPr>
        <w:numPr>
          <w:ilvl w:val="0"/>
          <w:numId w:val="1001"/>
        </w:numPr>
        <w:pStyle w:val="Compact"/>
      </w:pPr>
      <w:r>
        <w:rPr>
          <w:bCs/>
          <w:b/>
        </w:rPr>
        <w:t xml:space="preserve">Digital Integration:</w:t>
      </w:r>
      <w:r>
        <w:t xml:space="preserve"> </w:t>
      </w:r>
      <w:r>
        <w:t xml:space="preserve">The launch of our mobile banking platform "BancaMx" saw 73% adoption among Mexico City corporate clients—a key differentiator in a market where digital transformation remains nascent.</w:t>
      </w:r>
    </w:p>
    <w:bookmarkEnd w:id="22"/>
    <w:bookmarkStart w:id="23" w:name="product-specific-performance"/>
    <w:p>
      <w:pPr>
        <w:pStyle w:val="Heading2"/>
      </w:pPr>
      <w:r>
        <w:t xml:space="preserve">Product-Specific Performance</w:t>
      </w:r>
    </w:p>
    <w:p>
      <w:pPr>
        <w:pStyle w:val="FirstParagraph"/>
      </w:pPr>
      <w:r>
        <w:t xml:space="preserve">Our Mexico City Banker team demonstrated exceptional cross-selling capabilities, particularly with the newly launched "México Growth Package." This integrated solution—including trade finance, treasury management, and ESG compliance services—secured 32 high-value deals in Q3 alone. The Sales Report documents that 68% of new commercial clients selected at least two products from this package.</w:t>
      </w:r>
    </w:p>
    <w:p>
      <w:pPr>
        <w:pStyle w:val="BodyText"/>
      </w:pPr>
      <w:r>
        <w:t xml:space="preserve">Notable achievements include:</w:t>
      </w:r>
    </w:p>
    <w:p>
      <w:pPr>
        <w:numPr>
          <w:ilvl w:val="0"/>
          <w:numId w:val="1002"/>
        </w:numPr>
        <w:pStyle w:val="Compact"/>
      </w:pPr>
      <w:r>
        <w:t xml:space="preserve">A $45M syndicated loan for a major Mexico City-based automotive supplier, managed by Senior Banker Elena Morales</w:t>
      </w:r>
    </w:p>
    <w:p>
      <w:pPr>
        <w:numPr>
          <w:ilvl w:val="0"/>
          <w:numId w:val="1002"/>
        </w:numPr>
        <w:pStyle w:val="Compact"/>
      </w:pPr>
      <w:r>
        <w:t xml:space="preserve">Implementation of blockchain-based trade finance solutions for 12 Mexico City logistics firms</w:t>
      </w:r>
    </w:p>
    <w:p>
      <w:pPr>
        <w:numPr>
          <w:ilvl w:val="0"/>
          <w:numId w:val="1002"/>
        </w:numPr>
        <w:pStyle w:val="Compact"/>
      </w:pPr>
      <w:r>
        <w:t xml:space="preserve">Wealth management team surpassing targets by 28% through personalized ESG investment portfolios tailored to Mexico City's emerging green economy</w:t>
      </w:r>
    </w:p>
    <w:bookmarkEnd w:id="23"/>
    <w:bookmarkStart w:id="24" w:name="Xbc369532952ff34da9079c8a9b4b143a7a72de8"/>
    <w:p>
      <w:pPr>
        <w:pStyle w:val="Heading2"/>
      </w:pPr>
      <w:r>
        <w:t xml:space="preserve">Mexico City Market Trends Driving Sales Success</w:t>
      </w:r>
    </w:p>
    <w:p>
      <w:pPr>
        <w:pStyle w:val="FirstParagraph"/>
      </w:pPr>
      <w:r>
        <w:t xml:space="preserve">As detailed in our ongoing Sales Report, Mexico City's economic trajectory is shaping our banking strategy. The city's position as the nation's commercial hub (accounting for 32% of national GDP) creates unique opportunities. Recent trends we've capitalized on include:</w:t>
      </w:r>
    </w:p>
    <w:p>
      <w:pPr>
        <w:numPr>
          <w:ilvl w:val="0"/>
          <w:numId w:val="1003"/>
        </w:numPr>
        <w:pStyle w:val="Compact"/>
      </w:pPr>
      <w:r>
        <w:rPr>
          <w:bCs/>
          <w:b/>
        </w:rPr>
        <w:t xml:space="preserve">Manufacturing Reshoring:</w:t>
      </w:r>
      <w:r>
        <w:t xml:space="preserve"> </w:t>
      </w:r>
      <w:r>
        <w:t xml:space="preserve">Mexico City's proximity to US border maquiladoras drives demand for cross-border financing solutions—a core focus of our Banker team</w:t>
      </w:r>
    </w:p>
    <w:p>
      <w:pPr>
        <w:numPr>
          <w:ilvl w:val="0"/>
          <w:numId w:val="1003"/>
        </w:numPr>
        <w:pStyle w:val="Compact"/>
      </w:pPr>
      <w:r>
        <w:rPr>
          <w:bCs/>
          <w:b/>
        </w:rPr>
        <w:t xml:space="preserve">Sustainable Infrastructure Boom:</w:t>
      </w:r>
      <w:r>
        <w:t xml:space="preserve"> </w:t>
      </w:r>
      <w:r>
        <w:t xml:space="preserve">Over $18B in green projects in Mexico City created high-value opportunities for our ESG-linked financial products</w:t>
      </w:r>
    </w:p>
    <w:p>
      <w:pPr>
        <w:numPr>
          <w:ilvl w:val="0"/>
          <w:numId w:val="1003"/>
        </w:numPr>
        <w:pStyle w:val="Compact"/>
      </w:pPr>
      <w:r>
        <w:rPr>
          <w:bCs/>
          <w:b/>
        </w:rPr>
        <w:t xml:space="preserve">Digital Payment Surge:</w:t>
      </w:r>
      <w:r>
        <w:t xml:space="preserve"> </w:t>
      </w:r>
      <w:r>
        <w:t xml:space="preserve">42% year-over-year increase in fintech adoption within Mexico City necessitated our accelerated digital banking rollout</w:t>
      </w:r>
    </w:p>
    <w:bookmarkEnd w:id="24"/>
    <w:bookmarkStart w:id="25" w:name="challenges-strategic-recommendations"/>
    <w:p>
      <w:pPr>
        <w:pStyle w:val="Heading2"/>
      </w:pPr>
      <w:r>
        <w:t xml:space="preserve">Challenges &amp; Strategic Recommendations</w:t>
      </w:r>
    </w:p>
    <w:p>
      <w:pPr>
        <w:pStyle w:val="FirstParagraph"/>
      </w:pPr>
      <w:r>
        <w:t xml:space="preserve">While results are strong, the Sales Report identifies key challenges requiring immediate attention in Mexico City operations:</w:t>
      </w:r>
    </w:p>
    <w:p>
      <w:pPr>
        <w:numPr>
          <w:ilvl w:val="0"/>
          <w:numId w:val="1004"/>
        </w:numPr>
        <w:pStyle w:val="Compact"/>
      </w:pPr>
      <w:r>
        <w:rPr>
          <w:bCs/>
          <w:b/>
        </w:rPr>
        <w:t xml:space="preserve">Regulatory Complexity:</w:t>
      </w:r>
      <w:r>
        <w:t xml:space="preserve"> </w:t>
      </w:r>
      <w:r>
        <w:t xml:space="preserve">Navigating Mexico City's municipal financial regulations requires enhanced training for our Banker staff</w:t>
      </w:r>
    </w:p>
    <w:p>
      <w:pPr>
        <w:numPr>
          <w:ilvl w:val="0"/>
          <w:numId w:val="1004"/>
        </w:numPr>
        <w:pStyle w:val="Compact"/>
      </w:pPr>
      <w:r>
        <w:rPr>
          <w:bCs/>
          <w:b/>
        </w:rPr>
        <w:t xml:space="preserve">Talent Retention:</w:t>
      </w:r>
      <w:r>
        <w:t xml:space="preserve"> </w:t>
      </w:r>
      <w:r>
        <w:t xml:space="preserve">Competition from local banks for senior bankers has increased attrition to 14%—exceeding target of 8%</w:t>
      </w:r>
    </w:p>
    <w:p>
      <w:pPr>
        <w:pStyle w:val="FirstParagraph"/>
      </w:pPr>
      <w:r>
        <w:t xml:space="preserve">Recommendations from our Mexico City Sales Report include:</w:t>
      </w:r>
    </w:p>
    <w:p>
      <w:pPr>
        <w:numPr>
          <w:ilvl w:val="0"/>
          <w:numId w:val="1005"/>
        </w:numPr>
        <w:pStyle w:val="Compact"/>
      </w:pPr>
      <w:r>
        <w:t xml:space="preserve">Launch a specialized "Mexico City Banking Academy" to accelerate regulatory expertise</w:t>
      </w:r>
    </w:p>
    <w:p>
      <w:pPr>
        <w:numPr>
          <w:ilvl w:val="0"/>
          <w:numId w:val="1005"/>
        </w:numPr>
        <w:pStyle w:val="Compact"/>
      </w:pPr>
      <w:r>
        <w:t xml:space="preserve">Implement a competitive retention package for senior Banker roles targeting the city's top talent pool</w:t>
      </w:r>
    </w:p>
    <w:p>
      <w:pPr>
        <w:numPr>
          <w:ilvl w:val="0"/>
          <w:numId w:val="1005"/>
        </w:numPr>
        <w:pStyle w:val="Compact"/>
      </w:pPr>
      <w:r>
        <w:t xml:space="preserve">Create dedicated Mexico City Innovation Labs for developing hyper-local financial products</w:t>
      </w:r>
    </w:p>
    <w:bookmarkEnd w:id="25"/>
    <w:bookmarkStart w:id="26" w:name="conclusion-forward-outlook"/>
    <w:p>
      <w:pPr>
        <w:pStyle w:val="Heading2"/>
      </w:pPr>
      <w:r>
        <w:t xml:space="preserve">Conclusion &amp; Forward Outlook</w:t>
      </w:r>
    </w:p>
    <w:p>
      <w:pPr>
        <w:pStyle w:val="FirstParagraph"/>
      </w:pPr>
      <w:r>
        <w:t xml:space="preserve">This Sales Report affirms that our Banker professionals in Mexico City have established an unassailable market position through client-centric innovation and deep local market intelligence. The city's status as the economic engine of Mexico makes this a critical battleground for global banking leadership. Our Q3 performance demonstrates that when Banker teams operate with localized expertise within Mexico City's distinct business environment, measurable results follow.</w:t>
      </w:r>
    </w:p>
    <w:p>
      <w:pPr>
        <w:pStyle w:val="BodyText"/>
      </w:pPr>
      <w:r>
        <w:t xml:space="preserve">Looking ahead, we project 22% YoY growth in commercial banking revenue for Mexico City in Q4 2023. To maintain this momentum, we recommend doubling down on our Banker development program while expanding the Mexico City-specific product suite. The Sales Report concludes that sustained investment in our Mexico City operations will yield disproportionate returns given the market's strategic importance to our global footprint.</w:t>
      </w:r>
    </w:p>
    <w:p>
      <w:pPr>
        <w:pStyle w:val="BodyText"/>
      </w:pPr>
      <w:r>
        <w:rPr>
          <w:bCs/>
          <w:b/>
        </w:rPr>
        <w:t xml:space="preserve">Final Note from Mexico City Banking Leadership:</w:t>
      </w:r>
      <w:r>
        <w:t xml:space="preserve"> </w:t>
      </w:r>
      <w:r>
        <w:t xml:space="preserve">"Our success in Mexico City isn't accidental—it's the result of Banker teams who understand that every transaction, every client relationship, and every market trend in Mexico City requires bespoke solutions. This Sales Report proves that when our bankers operate with local insight at their core, they don't just serve a market—they shape its financial future."</w:t>
      </w:r>
    </w:p>
    <w:p>
      <w:pPr>
        <w:pStyle w:val="BodyText"/>
      </w:pPr>
      <w:r>
        <w:t xml:space="preserve">This Sales Report is a confidential document of global banking operations. All data reflects Mexico City, Mexico market performance as of September 30, 2023. Prepared by the Global Banking Strategy Team with input from Mexico City Banker field teams.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Banker Sales Report - Mexico City Market</dc:title>
  <dc:creator/>
  <dc:language>en</dc:language>
  <cp:keywords/>
  <dcterms:created xsi:type="dcterms:W3CDTF">2026-07-24T03:51:24Z</dcterms:created>
  <dcterms:modified xsi:type="dcterms:W3CDTF">2026-07-24T03:51:24Z</dcterms:modified>
</cp:coreProperties>
</file>

<file path=docProps/custom.xml><?xml version="1.0" encoding="utf-8"?>
<Properties xmlns="http://schemas.openxmlformats.org/officeDocument/2006/custom-properties" xmlns:vt="http://schemas.openxmlformats.org/officeDocument/2006/docPropsVTypes"/>
</file>