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Banker</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8" w:name="Xf23ec683a51d6f529a4bb4f83a50ee2bb3de53b"/>
    <w:p>
      <w:pPr>
        <w:pStyle w:val="Heading1"/>
      </w:pPr>
      <w:r>
        <w:t xml:space="preserve">Comprehensive Sales Report: Strategic Banking Performance in Morocco Casablanca</w:t>
      </w:r>
    </w:p>
    <w:p>
      <w:pPr>
        <w:pStyle w:val="FirstParagraph"/>
      </w:pPr>
      <w:r>
        <w:rPr>
          <w:bCs/>
          <w:b/>
        </w:rPr>
        <w:t xml:space="preserve">Prepared For:</w:t>
      </w:r>
      <w:r>
        <w:t xml:space="preserve"> </w:t>
      </w:r>
      <w:r>
        <w:t xml:space="preserve">Executive Leadership, Africa Regional Office</w:t>
      </w:r>
      <w:r>
        <w:br/>
      </w:r>
      <w:r>
        <w:rPr>
          <w:bCs/>
          <w:b/>
        </w:rPr>
        <w:t xml:space="preserve">Date:</w:t>
      </w:r>
      <w:r>
        <w:t xml:space="preserve"> </w:t>
      </w:r>
      <w:r>
        <w:t xml:space="preserve">October 26, 2023</w:t>
      </w:r>
      <w:r>
        <w:br/>
      </w:r>
      <w:r>
        <w:rPr>
          <w:bCs/>
          <w:b/>
        </w:rPr>
        <w:t xml:space="preserve">Prepared By:</w:t>
      </w:r>
      <w:r>
        <w:t xml:space="preserve"> </w:t>
      </w:r>
      <w:r>
        <w:t xml:space="preserve">Senior Sales Strategy Team</w:t>
      </w:r>
    </w:p>
    <w:bookmarkStart w:id="20" w:name="X78e78aadbf75ddcdc7b4d833eec3fe2c6cbdcbd"/>
    <w:p>
      <w:pPr>
        <w:pStyle w:val="Heading2"/>
      </w:pPr>
      <w:r>
        <w:t xml:space="preserve">I. Introduction: The Strategic Imperative of Morocco Casablanca</w:t>
      </w:r>
    </w:p>
    <w:p>
      <w:pPr>
        <w:pStyle w:val="FirstParagraph"/>
      </w:pPr>
      <w:r>
        <w:t xml:space="preserve">This Sales Report provides an in-depth analysis of banking performance across the dynamic financial landscape of Morocco Casablanca, Africa's premier economic hub. As the leading commercial center in North Africa, Casablanca represents a critical growth frontier where our Banker team delivers exceptional client solutions. This document serves as both a performance benchmark and strategic roadmap for our continued dominance in this high-potential market. The Morocco Casablanca banking sector has demonstrated remarkable resilience, with 12% year-on-year growth in commercial lending—a testament to our targeted Sales Report initiatives.</w:t>
      </w:r>
    </w:p>
    <w:bookmarkEnd w:id="20"/>
    <w:bookmarkStart w:id="22" w:name="Xae835095e1c4e73093884bbb96c38889b4a62e4"/>
    <w:p>
      <w:pPr>
        <w:pStyle w:val="Heading2"/>
      </w:pPr>
      <w:r>
        <w:t xml:space="preserve">II. Q3 2023 Performance Metrics: Key Sales Achievements</w:t>
      </w:r>
    </w:p>
    <w:p>
      <w:pPr>
        <w:pStyle w:val="FirstParagraph"/>
      </w:pPr>
      <w:r>
        <w:t xml:space="preserve">The Banker team in Morocco Casablanca has exceeded quarterly targets by 18.7%, securing a record €47.6 million in new commercial loans and expanding our client portfolio by 34%. This success stems from two flagship initiatives: the "Casablanca SME Accelerator Program" and the "Premium Corporate Banking Suite." Notably, our Banker relationship managers achieved a 92% client retention rate—the highest in MENA—by implementing personalized financial wellness audits for each business. The Morocco Casablanca market contributed 63% of all regional commercial banking revenue, with export finance transactions surging by 41% driven by agri-business and textiles sectors.</w:t>
      </w:r>
    </w:p>
    <w:bookmarkStart w:id="21" w:name="key-performance-indicators"/>
    <w:p>
      <w:pPr>
        <w:pStyle w:val="Heading3"/>
      </w:pPr>
      <w:r>
        <w:t xml:space="preserve">Key Performance Indicators:</w:t>
      </w:r>
    </w:p>
    <w:p>
      <w:pPr>
        <w:numPr>
          <w:ilvl w:val="0"/>
          <w:numId w:val="1001"/>
        </w:numPr>
        <w:pStyle w:val="Compact"/>
      </w:pPr>
      <w:r>
        <w:rPr>
          <w:bCs/>
          <w:b/>
        </w:rPr>
        <w:t xml:space="preserve">Loan Portfolio Growth:</w:t>
      </w:r>
      <w:r>
        <w:t xml:space="preserve"> </w:t>
      </w:r>
      <w:r>
        <w:t xml:space="preserve">+22.4% YoY in Morocco Casablanca (vs. regional average of 9.8%)</w:t>
      </w:r>
    </w:p>
    <w:p>
      <w:pPr>
        <w:numPr>
          <w:ilvl w:val="0"/>
          <w:numId w:val="1001"/>
        </w:numPr>
        <w:pStyle w:val="Compact"/>
      </w:pPr>
      <w:r>
        <w:rPr>
          <w:bCs/>
          <w:b/>
        </w:rPr>
        <w:t xml:space="preserve">New Client Acquisition:</w:t>
      </w:r>
      <w:r>
        <w:t xml:space="preserve"> </w:t>
      </w:r>
      <w:r>
        <w:t xml:space="preserve">157 new corporate accounts opened (33% above target)</w:t>
      </w:r>
    </w:p>
    <w:p>
      <w:pPr>
        <w:numPr>
          <w:ilvl w:val="0"/>
          <w:numId w:val="1001"/>
        </w:numPr>
        <w:pStyle w:val="Compact"/>
      </w:pPr>
      <w:r>
        <w:rPr>
          <w:bCs/>
          <w:b/>
        </w:rPr>
        <w:t xml:space="preserve">Product Penetration:</w:t>
      </w:r>
      <w:r>
        <w:t xml:space="preserve"> </w:t>
      </w:r>
      <w:r>
        <w:t xml:space="preserve">Trade finance adoption increased by 27% among manufacturing clients</w:t>
      </w:r>
    </w:p>
    <w:p>
      <w:pPr>
        <w:numPr>
          <w:ilvl w:val="0"/>
          <w:numId w:val="1001"/>
        </w:numPr>
        <w:pStyle w:val="Compact"/>
      </w:pPr>
      <w:r>
        <w:rPr>
          <w:bCs/>
          <w:b/>
        </w:rPr>
        <w:t xml:space="preserve">Cross-Sell Ratio:</w:t>
      </w:r>
      <w:r>
        <w:t xml:space="preserve"> </w:t>
      </w:r>
      <w:r>
        <w:t xml:space="preserve">4.2 services per client (up from 3.1 last quarter)</w:t>
      </w:r>
    </w:p>
    <w:bookmarkEnd w:id="21"/>
    <w:bookmarkEnd w:id="22"/>
    <w:bookmarkStart w:id="23" w:name="X797ad3e0db2676509c80171999ce1e45b05e0dc"/>
    <w:p>
      <w:pPr>
        <w:pStyle w:val="Heading2"/>
      </w:pPr>
      <w:r>
        <w:t xml:space="preserve">III. Strategic Differentiation: Why Morocco Casablanca Wins</w:t>
      </w:r>
    </w:p>
    <w:p>
      <w:pPr>
        <w:pStyle w:val="FirstParagraph"/>
      </w:pPr>
      <w:r>
        <w:t xml:space="preserve">Our competitive edge in Morocco Casablanca stems from three pillars that define our Banker approach:</w:t>
      </w:r>
    </w:p>
    <w:p>
      <w:pPr>
        <w:numPr>
          <w:ilvl w:val="0"/>
          <w:numId w:val="1002"/>
        </w:numPr>
        <w:pStyle w:val="Compact"/>
      </w:pPr>
      <w:r>
        <w:rPr>
          <w:bCs/>
          <w:b/>
        </w:rPr>
        <w:t xml:space="preserve">Cultural Intelligence Integration:</w:t>
      </w:r>
      <w:r>
        <w:t xml:space="preserve"> </w:t>
      </w:r>
      <w:r>
        <w:t xml:space="preserve">All Banker staff undergo mandatory Darija language training and cultural immersion programs. This has reduced onboarding time for local SMEs by 35%.</w:t>
      </w:r>
    </w:p>
    <w:p>
      <w:pPr>
        <w:numPr>
          <w:ilvl w:val="0"/>
          <w:numId w:val="1002"/>
        </w:numPr>
        <w:pStyle w:val="Compact"/>
      </w:pPr>
      <w:r>
        <w:rPr>
          <w:bCs/>
          <w:b/>
        </w:rPr>
        <w:t xml:space="preserve">Technology-Driven Personalization:</w:t>
      </w:r>
      <w:r>
        <w:t xml:space="preserve"> </w:t>
      </w:r>
      <w:r>
        <w:t xml:space="preserve">The "Casablanca Insights Dashboard" analyzes client cash flow patterns in real-time, enabling proactive financing recommendations. Our Banker team now anticipates 68% of client needs before they're voiced.</w:t>
      </w:r>
    </w:p>
    <w:p>
      <w:pPr>
        <w:numPr>
          <w:ilvl w:val="0"/>
          <w:numId w:val="1002"/>
        </w:numPr>
        <w:pStyle w:val="Compact"/>
      </w:pPr>
      <w:r>
        <w:rPr>
          <w:bCs/>
          <w:b/>
        </w:rPr>
        <w:t xml:space="preserve">Regulatory Agility:</w:t>
      </w:r>
      <w:r>
        <w:t xml:space="preserve"> </w:t>
      </w:r>
      <w:r>
        <w:t xml:space="preserve">By collaborating with Banque Centrale du Maroc on fintech sandbox initiatives, we've accelerated product approvals by 50%, a critical advantage for businesses navigating Morocco Casablanca's evolving compliance landscape.</w:t>
      </w:r>
    </w:p>
    <w:bookmarkEnd w:id="23"/>
    <w:bookmarkStart w:id="24" w:name="Xfa7fdff58a139e3fc640a22b32c7f94e69d1147"/>
    <w:p>
      <w:pPr>
        <w:pStyle w:val="Heading2"/>
      </w:pPr>
      <w:r>
        <w:t xml:space="preserve">IV. Market Challenges and Adaptive Solutions</w:t>
      </w:r>
    </w:p>
    <w:p>
      <w:pPr>
        <w:pStyle w:val="FirstParagraph"/>
      </w:pPr>
      <w:r>
        <w:t xml:space="preserve">Despite strong performance, the Morocco Casablanca market presented unique challenges in Q3. Currency volatility (MAD/USD fluctuations exceeding 5%) impacted trade finance volumes initially. Our Banker team countered this by launching a "Dynamic FX Shield" product—locking rates for 90 days at no additional cost—which captured €12 million in new business within two weeks of launch.</w:t>
      </w:r>
    </w:p>
    <w:p>
      <w:pPr>
        <w:pStyle w:val="BodyText"/>
      </w:pPr>
      <w:r>
        <w:t xml:space="preserve">Another challenge was the post-pandemic talent shortage for specialized banking roles. The solution? A targeted recruitment drive with local universities like Hassan II University, creating a "Banker Talent Pipeline" that increased junior analyst hires by 70% while reducing training costs by 22%. This initiative directly addresses Morocco Casablanca's critical need for skilled financial professionals.</w:t>
      </w:r>
    </w:p>
    <w:bookmarkEnd w:id="24"/>
    <w:bookmarkStart w:id="25" w:name="X074b6b0679917b2d03a356dbbe54eeeaaf19b95"/>
    <w:p>
      <w:pPr>
        <w:pStyle w:val="Heading2"/>
      </w:pPr>
      <w:r>
        <w:t xml:space="preserve">V. The Sales Report: Client Success Story (Morocco Casablanca)</w:t>
      </w:r>
    </w:p>
    <w:p>
      <w:pPr>
        <w:pStyle w:val="FirstParagraph"/>
      </w:pPr>
      <w:r>
        <w:t xml:space="preserve">Our partnership with Dar Al-Masrah, a leading Casablanca-based textile manufacturer, exemplifies the Banker's transformative impact. Facing cash flow gaps during seasonal exports to EU markets, our Banker team designed a flexible working capital facility tied to shipment tracking data. This solution reduced their financing costs by 19% while accelerating export cycles by 28 days. The client has since expanded operations into two new African markets—a direct result of our Morocco Casablanca-focused Sales Report strategy.</w:t>
      </w:r>
    </w:p>
    <w:bookmarkEnd w:id="25"/>
    <w:bookmarkStart w:id="26" w:name="X96a1f3a9ac86326c0884b00192d2d931d5f26d2"/>
    <w:p>
      <w:pPr>
        <w:pStyle w:val="Heading2"/>
      </w:pPr>
      <w:r>
        <w:t xml:space="preserve">VI. Future Strategy: Scaling Success Across Morocco Casablanca</w:t>
      </w:r>
    </w:p>
    <w:p>
      <w:pPr>
        <w:pStyle w:val="FirstParagraph"/>
      </w:pPr>
      <w:r>
        <w:t xml:space="preserve">Based on this Sales Report, we are deploying three targeted initiatives for Q4 2023:</w:t>
      </w:r>
    </w:p>
    <w:p>
      <w:pPr>
        <w:numPr>
          <w:ilvl w:val="0"/>
          <w:numId w:val="1003"/>
        </w:numPr>
        <w:pStyle w:val="Compact"/>
      </w:pPr>
      <w:r>
        <w:rPr>
          <w:bCs/>
          <w:b/>
        </w:rPr>
        <w:t xml:space="preserve">Nexus Network Expansion:</w:t>
      </w:r>
      <w:r>
        <w:t xml:space="preserve"> </w:t>
      </w:r>
      <w:r>
        <w:t xml:space="preserve">Opening two new client hubs in industrial zones (Hay Hassani &amp; Sidi Maarouf) to service the growing manufacturing cluster in Morocco Casablanca.</w:t>
      </w:r>
    </w:p>
    <w:p>
      <w:pPr>
        <w:numPr>
          <w:ilvl w:val="0"/>
          <w:numId w:val="1003"/>
        </w:numPr>
        <w:pStyle w:val="Compact"/>
      </w:pPr>
      <w:r>
        <w:rPr>
          <w:bCs/>
          <w:b/>
        </w:rPr>
        <w:t xml:space="preserve">E-SME Digital Platform:</w:t>
      </w:r>
      <w:r>
        <w:t xml:space="preserve"> </w:t>
      </w:r>
      <w:r>
        <w:t xml:space="preserve">A mobile-first platform enabling instant credit scoring for micro-businesses—addressing a €300M unmet financing gap identified in our Morocco Casablanca market analysis.</w:t>
      </w:r>
    </w:p>
    <w:p>
      <w:pPr>
        <w:numPr>
          <w:ilvl w:val="0"/>
          <w:numId w:val="1003"/>
        </w:numPr>
        <w:pStyle w:val="Compact"/>
      </w:pPr>
      <w:r>
        <w:rPr>
          <w:bCs/>
          <w:b/>
        </w:rPr>
        <w:t xml:space="preserve">Sustainability Finance Accelerator:</w:t>
      </w:r>
      <w:r>
        <w:t xml:space="preserve"> </w:t>
      </w:r>
      <w:r>
        <w:t xml:space="preserve">Partnering with the Moroccan Green Fund to offer preferential rates on ESG-compliant projects—a growing demand driver in Casablanca's corporate sector.</w:t>
      </w:r>
    </w:p>
    <w:bookmarkEnd w:id="26"/>
    <w:bookmarkStart w:id="27" w:name="X2577f90cbd1f9fc8bb216d3b4a7b9d30c43e580"/>
    <w:p>
      <w:pPr>
        <w:pStyle w:val="Heading2"/>
      </w:pPr>
      <w:r>
        <w:t xml:space="preserve">VII. Conclusion: The Banker's Mandate in Morocco Casablanca</w:t>
      </w:r>
    </w:p>
    <w:p>
      <w:pPr>
        <w:pStyle w:val="FirstParagraph"/>
      </w:pPr>
      <w:r>
        <w:t xml:space="preserve">This Sales Report unequivocally demonstrates that our Banker strategy has positioned us as the catalyst for business growth across Morocco Casablanca. With the Casablanca Economic Zone projected to drive 35% of national GDP expansion by 2025, we are not merely participating in this market—we are defining its financial architecture. The data shows that our localized approach (not generic banking) is the differentiator: every client interaction embodies our Banker commitment to understanding Morocco Casablanca's unique economic pulse.</w:t>
      </w:r>
    </w:p>
    <w:p>
      <w:pPr>
        <w:pStyle w:val="BodyText"/>
      </w:pPr>
      <w:r>
        <w:t xml:space="preserve">Looking ahead, we project 25% revenue growth in Morocco Casablanca for 2024 through these initiatives. The Sales Report concludes that sustained leadership requires doubling down on hyper-localized solutions—where our Banker team becomes an extension of our clients' strategic vision. As the Moroccan banking landscape evolves toward digital-first models, our Morocco Casablanca operations stand ready to lead the transformation with unwavering client focus.</w:t>
      </w:r>
    </w:p>
    <w:p>
      <w:pPr>
        <w:pStyle w:val="BodyText"/>
      </w:pPr>
      <w:r>
        <w:rPr>
          <w:iCs/>
          <w:i/>
        </w:rPr>
        <w:t xml:space="preserve">Final Note: This Sales Report is living documentation. All figures are validated by the Finance Department and updated weekly in our Morocco Casablanca Command Center. Our Banker team's quarterly performance reviews will now integrate this Sales Report data directly into individual development plans.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Banker Performance in Morocco Casablanca</dc:title>
  <dc:creator/>
  <dc:language>en</dc:language>
  <cp:keywords/>
  <dcterms:created xsi:type="dcterms:W3CDTF">2026-07-23T15:45:39Z</dcterms:created>
  <dcterms:modified xsi:type="dcterms:W3CDTF">2026-07-23T15:45:39Z</dcterms:modified>
</cp:coreProperties>
</file>

<file path=docProps/custom.xml><?xml version="1.0" encoding="utf-8"?>
<Properties xmlns="http://schemas.openxmlformats.org/officeDocument/2006/custom-properties" xmlns:vt="http://schemas.openxmlformats.org/officeDocument/2006/docPropsVTypes"/>
</file>