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Banking</w:t>
      </w:r>
      <w:r>
        <w:t xml:space="preserve"> </w:t>
      </w:r>
      <w:r>
        <w:t xml:space="preserve">Performance</w:t>
      </w:r>
      <w:r>
        <w:t xml:space="preserve"> </w:t>
      </w:r>
      <w:r>
        <w:t xml:space="preserve">in</w:t>
      </w:r>
      <w:r>
        <w:t xml:space="preserve"> </w:t>
      </w:r>
      <w:r>
        <w:t xml:space="preserve">Yangon,</w:t>
      </w:r>
      <w:r>
        <w:t xml:space="preserve"> </w:t>
      </w:r>
      <w:r>
        <w:t xml:space="preserve">Myanmar</w:t>
      </w:r>
    </w:p>
    <w:bookmarkStart w:id="29" w:name="Xf826fcdfb11bd23ff333b6bbbc6960770d03bc3"/>
    <w:p>
      <w:pPr>
        <w:pStyle w:val="Heading1"/>
      </w:pPr>
      <w:r>
        <w:t xml:space="preserve">QUARTERLY SALES REPORT FOR BANKING SERVICES IN YANGON, MYANMAR</w:t>
      </w:r>
    </w:p>
    <w:bookmarkStart w:id="20" w:name="executive-summary"/>
    <w:p>
      <w:pPr>
        <w:pStyle w:val="Heading2"/>
      </w:pPr>
      <w:r>
        <w:t xml:space="preserve">Executive Summary</w:t>
      </w:r>
    </w:p>
    <w:p>
      <w:pPr>
        <w:pStyle w:val="FirstParagraph"/>
      </w:pPr>
      <w:r>
        <w:t xml:space="preserve">This comprehensive Sales Report details the performance of our banking operations in Myanmar Yangon during Q3 2023. As a premier financial institution operating across Yangon's dynamic economic landscape, we have achieved significant milestones under the strategic leadership of our dedicated Banker team. This document serves as a critical assessment tool for stakeholders to understand market positioning, customer acquisition metrics, and future growth opportunities specific to Myanmar Yangon's unique financial ecosystem.</w:t>
      </w:r>
    </w:p>
    <w:p>
      <w:pPr>
        <w:pStyle w:val="BodyText"/>
      </w:pPr>
      <w:r>
        <w:t xml:space="preserve">Key highlights include a 17.3% year-over-year increase in retail banking products sold within Yangon city limits, with particular strength in digital account openings (up 28%) and SME loan disbursements (up 34%). These results position our Banker operations as market leaders in Myanmar's most populous urban center.</w:t>
      </w:r>
    </w:p>
    <w:bookmarkEnd w:id="20"/>
    <w:bookmarkStart w:id="21" w:name="X322a2f190debf1f477688402f9e3bbbf401a24c"/>
    <w:p>
      <w:pPr>
        <w:pStyle w:val="Heading2"/>
      </w:pPr>
      <w:r>
        <w:t xml:space="preserve">Regional Performance Analysis: Yangon Market Focus</w:t>
      </w:r>
    </w:p>
    <w:p>
      <w:pPr>
        <w:pStyle w:val="FirstParagraph"/>
      </w:pPr>
      <w:r>
        <w:t xml:space="preserve">The Yangon market remains the cornerstone of our Myanmar banking strategy, representing 68% of total national revenue. Our Banker team has executed targeted initiatives that have significantly enhanced our market share in this critical economic hub. Notable achievements include:</w:t>
      </w:r>
    </w:p>
    <w:p>
      <w:pPr>
        <w:numPr>
          <w:ilvl w:val="0"/>
          <w:numId w:val="1001"/>
        </w:numPr>
        <w:pStyle w:val="Compact"/>
      </w:pPr>
      <w:r>
        <w:rPr>
          <w:bCs/>
          <w:b/>
        </w:rPr>
        <w:t xml:space="preserve">Customer Acquisition:</w:t>
      </w:r>
      <w:r>
        <w:t xml:space="preserve"> </w:t>
      </w:r>
      <w:r>
        <w:t xml:space="preserve">4,200 new retail accounts opened (22% above target), with Yangon branches capturing 76% of these customers</w:t>
      </w:r>
    </w:p>
    <w:p>
      <w:pPr>
        <w:numPr>
          <w:ilvl w:val="0"/>
          <w:numId w:val="1001"/>
        </w:numPr>
        <w:pStyle w:val="Compact"/>
      </w:pPr>
      <w:r>
        <w:rPr>
          <w:bCs/>
          <w:b/>
        </w:rPr>
        <w:t xml:space="preserve">SME Penetration:</w:t>
      </w:r>
      <w:r>
        <w:t xml:space="preserve"> </w:t>
      </w:r>
      <w:r>
        <w:t xml:space="preserve">Disbursed $18.7M in business loans to 312 local enterprises across Yangon's key industrial zones</w:t>
      </w:r>
    </w:p>
    <w:p>
      <w:pPr>
        <w:numPr>
          <w:ilvl w:val="0"/>
          <w:numId w:val="1001"/>
        </w:numPr>
        <w:pStyle w:val="Compact"/>
      </w:pPr>
      <w:r>
        <w:rPr>
          <w:bCs/>
          <w:b/>
        </w:rPr>
        <w:t xml:space="preserve">Digital Adoption:</w:t>
      </w:r>
      <w:r>
        <w:t xml:space="preserve"> </w:t>
      </w:r>
      <w:r>
        <w:t xml:space="preserve">Mobile banking usage surged by 42% among Yangon residents, driven by our new 'Yangon Pay' feature</w:t>
      </w:r>
    </w:p>
    <w:p>
      <w:pPr>
        <w:pStyle w:val="FirstParagraph"/>
      </w:pPr>
      <w:r>
        <w:t xml:space="preserve">Our Banker operations have successfully navigated Yangon's complex urban infrastructure challenges, with branch locations strategically placed in high-traffic areas including Sule Pagoda district, Bahan Township, and the Yangon Central Business District. This geographical advantage has been instrumental in our 21% increase in cross-selling success rates compared to previous quarter.</w:t>
      </w:r>
    </w:p>
    <w:bookmarkEnd w:id="21"/>
    <w:bookmarkStart w:id="22" w:name="X054390cfe2640824d968c127eb8adda1377cc8d"/>
    <w:p>
      <w:pPr>
        <w:pStyle w:val="Heading2"/>
      </w:pPr>
      <w:r>
        <w:t xml:space="preserve">Banker Performance Metrics: Driving Sales Excellence</w:t>
      </w:r>
    </w:p>
    <w:p>
      <w:pPr>
        <w:pStyle w:val="FirstParagraph"/>
      </w:pPr>
      <w:r>
        <w:t xml:space="preserve">The effectiveness of our Banker team is reflected in concrete sales metrics demonstrating exceptional performance across all Yangon branches. Key indicators include:</w:t>
      </w:r>
    </w:p>
    <w:p>
      <w:pPr>
        <w:pStyle w:val="BodyText"/>
      </w:pPr>
      <w:r>
        <w:t xml:space="preserve">Performance Metric</w:t>
      </w:r>
    </w:p>
    <w:bookmarkEnd w:id="22"/>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New Customer Acquisition (Yangon)</w:t>
      </w:r>
    </w:p>
    <w:p>
      <w:pPr>
        <w:pStyle w:val="BodyText"/>
      </w:pPr>
      <w:r>
        <w:t xml:space="preserve">4,200</w:t>
      </w:r>
    </w:p>
    <w:p>
      <w:pPr>
        <w:pStyle w:val="BodyText"/>
      </w:pPr>
      <w:r>
        <w:t xml:space="preserve">+17.3%</w:t>
      </w:r>
    </w:p>
    <w:p>
      <w:pPr>
        <w:pStyle w:val="BodyText"/>
      </w:pPr>
      <w:r>
        <w:t xml:space="preserve">102%</w:t>
      </w:r>
    </w:p>
    <w:p>
      <w:pPr>
        <w:pStyle w:val="BodyText"/>
      </w:pPr>
      <w:r>
        <w:t xml:space="preserve">SME Loan Disbursements (Yangon)</w:t>
      </w:r>
    </w:p>
    <w:p>
      <w:pPr>
        <w:pStyle w:val="BodyText"/>
      </w:pPr>
      <w:r>
        <w:t xml:space="preserve">$18.7M</w:t>
      </w:r>
    </w:p>
    <w:p>
      <w:pPr>
        <w:pStyle w:val="BodyText"/>
      </w:pPr>
      <w:r>
        <w:t xml:space="preserve">+34.2%</w:t>
      </w:r>
    </w:p>
    <w:p>
      <w:pPr>
        <w:pStyle w:val="BodyText"/>
      </w:pPr>
      <w:r>
        <w:t xml:space="preserve">105%</w:t>
      </w:r>
    </w:p>
    <w:p>
      <w:pPr>
        <w:pStyle w:val="BodyText"/>
      </w:pPr>
      <w:r>
        <w:t xml:space="preserve">Digital Product Adoption Rate</w:t>
      </w:r>
    </w:p>
    <w:p>
      <w:pPr>
        <w:pStyle w:val="BodyText"/>
      </w:pPr>
      <w:r>
        <w:t xml:space="preserve">&lt;</w:t>
      </w:r>
    </w:p>
    <w:p>
      <w:pPr>
        <w:pStyle w:val="BodyText"/>
      </w:pPr>
      <w:r>
        <w:t xml:space="preserve">63.7%</w:t>
      </w:r>
    </w:p>
    <w:p>
      <w:pPr>
        <w:pStyle w:val="BodyText"/>
      </w:pPr>
      <w:r>
        <w:t xml:space="preserve">+42.1% (YoY)</w:t>
      </w:r>
    </w:p>
    <w:p>
      <w:pPr>
        <w:pStyle w:val="BodyText"/>
      </w:pPr>
      <w:r>
        <w:t xml:space="preserve">The Banker team's success stems from their deep understanding of Yangon's commercial culture and economic nuances. Our bankers have implemented localized sales approaches, including mobile banking clinics in Yangon markets like Bogyoke Aung San Market and Myaykaing Market, which directly contributed to a 37% increase in digital product uptake among informal sector entrepreneurs.</w:t>
      </w:r>
    </w:p>
    <w:p>
      <w:pPr>
        <w:pStyle w:val="BodyText"/>
      </w:pPr>
      <w:r>
        <w:rPr>
          <w:bCs/>
          <w:b/>
        </w:rPr>
        <w:t xml:space="preserve">Market Insight:</w:t>
      </w:r>
      <w:r>
        <w:t xml:space="preserve"> </w:t>
      </w:r>
      <w:r>
        <w:t xml:space="preserve">In Myanmar Yangon, 68% of business transactions still occur in cash. Our Banker team has successfully converted this challenge into opportunity by developing 'Cash-to-Cashless' training programs for small shop owners, directly driving new account openings and mobile banking adoption.</w:t>
      </w:r>
    </w:p>
    <w:bookmarkStart w:id="26" w:name="X6db955604137ee468730a24c49b0d5fcdd89bb4"/>
    <w:p>
      <w:pPr>
        <w:pStyle w:val="Heading2"/>
      </w:pPr>
      <w:r>
        <w:t xml:space="preserve">Yangon-Specific Challenges &amp; Strategic Responses</w:t>
      </w:r>
    </w:p>
    <w:p>
      <w:pPr>
        <w:pStyle w:val="FirstParagraph"/>
      </w:pPr>
      <w:r>
        <w:t xml:space="preserve">Navigating Myanmar Yangon's unique market environment requires specialized banking approaches. Our Sales Report identifies three critical challenges we've addressed through innovative Banker strategies:</w:t>
      </w:r>
    </w:p>
    <w:bookmarkStart w:id="23" w:name="Xac32b0358d927283d14c3fbd48c62e624e08620"/>
    <w:p>
      <w:pPr>
        <w:pStyle w:val="Heading3"/>
      </w:pPr>
      <w:r>
        <w:t xml:space="preserve">1. Infrastructure Limitations in Outlying Areas</w:t>
      </w:r>
    </w:p>
    <w:p>
      <w:pPr>
        <w:pStyle w:val="FirstParagraph"/>
      </w:pPr>
      <w:r>
        <w:t xml:space="preserve">Yangon's sprawling geography creates accessibility issues for rural customers. Our Banker team implemented 'Mobile Banking Units' that travel to underserved townships like Hlaingthaya and Thongwa, increasing customer reach by 41% while maintaining sales targets.</w:t>
      </w:r>
    </w:p>
    <w:bookmarkEnd w:id="23"/>
    <w:bookmarkStart w:id="24" w:name="currency-volatility-concerns"/>
    <w:p>
      <w:pPr>
        <w:pStyle w:val="Heading3"/>
      </w:pPr>
      <w:r>
        <w:t xml:space="preserve">2. Currency Volatility Concerns</w:t>
      </w:r>
    </w:p>
    <w:p>
      <w:pPr>
        <w:pStyle w:val="FirstParagraph"/>
      </w:pPr>
      <w:r>
        <w:t xml:space="preserve">Fluctuating MMK exchange rates in Myanmar Yangon created hesitation in foreign currency transactions. Our Banker team developed personalized FX hedging solutions, resulting in a 29% increase in cross-border trade financing deals from Yangon businesses.</w:t>
      </w:r>
    </w:p>
    <w:bookmarkEnd w:id="24"/>
    <w:bookmarkStart w:id="25" w:name="digital-literacy-barriers"/>
    <w:p>
      <w:pPr>
        <w:pStyle w:val="Heading3"/>
      </w:pPr>
      <w:r>
        <w:t xml:space="preserve">3. Digital Literacy Barriers</w:t>
      </w:r>
    </w:p>
    <w:p>
      <w:pPr>
        <w:pStyle w:val="FirstParagraph"/>
      </w:pPr>
      <w:r>
        <w:t xml:space="preserve">Only 47% of Yangon's population had basic digital banking knowledge. The Banker team launched 'Digital Banking for All' workshops at community centers, significantly improving customer confidence and reducing service complaints by 38%.</w:t>
      </w:r>
    </w:p>
    <w:bookmarkEnd w:id="25"/>
    <w:bookmarkEnd w:id="26"/>
    <w:bookmarkStart w:id="27" w:name="X2141a1dc94264813c80a2543faa11dc8bfa113f"/>
    <w:p>
      <w:pPr>
        <w:pStyle w:val="Heading2"/>
      </w:pPr>
      <w:r>
        <w:t xml:space="preserve">Future Growth Strategies for Myanmar Yangon</w:t>
      </w:r>
    </w:p>
    <w:p>
      <w:pPr>
        <w:pStyle w:val="FirstParagraph"/>
      </w:pPr>
      <w:r>
        <w:t xml:space="preserve">Based on this Sales Report, our Banker team has developed three priority initiatives to accelerate growth in Yangon:</w:t>
      </w:r>
    </w:p>
    <w:p>
      <w:pPr>
        <w:numPr>
          <w:ilvl w:val="0"/>
          <w:numId w:val="1002"/>
        </w:numPr>
        <w:pStyle w:val="Compact"/>
      </w:pPr>
      <w:r>
        <w:rPr>
          <w:bCs/>
          <w:b/>
        </w:rPr>
        <w:t xml:space="preserve">Yangon Business Accelerator Program:</w:t>
      </w:r>
      <w:r>
        <w:t xml:space="preserve"> </w:t>
      </w:r>
      <w:r>
        <w:t xml:space="preserve">A dedicated service for SMEs with customized loan packages, targeting Yangon's burgeoning garment and food processing industries. Projected to generate $5.2M in new loans within 12 months.</w:t>
      </w:r>
    </w:p>
    <w:p>
      <w:pPr>
        <w:numPr>
          <w:ilvl w:val="0"/>
          <w:numId w:val="1002"/>
        </w:numPr>
        <w:pStyle w:val="Compact"/>
      </w:pPr>
      <w:r>
        <w:rPr>
          <w:bCs/>
          <w:b/>
        </w:rPr>
        <w:t xml:space="preserve">Urban Financial Literacy Network:</w:t>
      </w:r>
      <w:r>
        <w:t xml:space="preserve"> </w:t>
      </w:r>
      <w:r>
        <w:t xml:space="preserve">Expansion of community workshops across all 64 Yangon townships, focusing on digital banking safety and micro-investment opportunities.</w:t>
      </w:r>
    </w:p>
    <w:p>
      <w:pPr>
        <w:numPr>
          <w:ilvl w:val="0"/>
          <w:numId w:val="1002"/>
        </w:numPr>
        <w:pStyle w:val="Compact"/>
      </w:pPr>
      <w:r>
        <w:rPr>
          <w:bCs/>
          <w:b/>
        </w:rPr>
        <w:t xml:space="preserve">Yangon Digital Wallet Integration:</w:t>
      </w:r>
      <w:r>
        <w:t xml:space="preserve"> </w:t>
      </w:r>
      <w:r>
        <w:t xml:space="preserve">Seamless integration with popular local payment platforms (like WavePay) to increase transaction volumes through our mobile banking platform by 50%.</w:t>
      </w:r>
    </w:p>
    <w:p>
      <w:pPr>
        <w:pStyle w:val="FirstParagraph"/>
      </w:pPr>
      <w:r>
        <w:t xml:space="preserve">These initiatives directly address Yangon's economic priorities, where 62% of the city's workforce is engaged in small-scale commerce. Our Banker team will implement these strategies with quarterly sales tracking to ensure continuous improvement in our Myanmar Yangon market position.</w:t>
      </w:r>
    </w:p>
    <w:bookmarkEnd w:id="27"/>
    <w:bookmarkStart w:id="28" w:name="Xecf894962c6e5f8e69079c7547ed34929cfa50b"/>
    <w:p>
      <w:pPr>
        <w:pStyle w:val="Heading2"/>
      </w:pPr>
      <w:r>
        <w:t xml:space="preserve">Conclusion: The Banker Advantage in Yangon</w:t>
      </w:r>
    </w:p>
    <w:p>
      <w:pPr>
        <w:pStyle w:val="FirstParagraph"/>
      </w:pPr>
      <w:r>
        <w:t xml:space="preserve">This Sales Report conclusively demonstrates how our Banker team's localized approach has created sustainable competitive advantage in Myanmar Yangon. By deeply understanding the city's economic pulse, cultural context, and operational realities, we've achieved superior sales performance while building lasting customer relationships.</w:t>
      </w:r>
    </w:p>
    <w:p>
      <w:pPr>
        <w:pStyle w:val="BodyText"/>
      </w:pPr>
      <w:r>
        <w:t xml:space="preserve">The 17.3% YoY revenue growth from Yangon operations is not merely a number – it represents successful on-ground execution by our Banker professionals who navigate the complexities of Myanmar's financial landscape daily. As Yangon continues its economic transformation, our Sales Report confirms that investing in culturally intelligent banking solutions delivers measurable returns.</w:t>
      </w:r>
    </w:p>
    <w:p>
      <w:pPr>
        <w:pStyle w:val="BodyText"/>
      </w:pPr>
      <w:r>
        <w:t xml:space="preserve">Looking ahead, we will intensify focus on Yangon's emerging economic zones including the new Naypyidaw-Yangon corridor and industrial parks around Thilawa Special Economic Zone. Our Banker team stands ready to be the financial partner of choice for Myanmar's most dynamic market, with sales strategies tailored specifically for Yangon's unique commercial ecosystem.</w:t>
      </w:r>
    </w:p>
    <w:p>
      <w:pPr>
        <w:pStyle w:val="BodyText"/>
      </w:pPr>
      <w:r>
        <w:rPr>
          <w:bCs/>
          <w:b/>
        </w:rPr>
        <w:t xml:space="preserve">Prepared By:</w:t>
      </w:r>
      <w:r>
        <w:t xml:space="preserve"> </w:t>
      </w:r>
      <w:r>
        <w:t xml:space="preserve">Regional Sales Management |</w:t>
      </w:r>
      <w:r>
        <w:t xml:space="preserve"> </w:t>
      </w:r>
      <w:r>
        <w:rPr>
          <w:bCs/>
          <w:b/>
        </w:rPr>
        <w:t xml:space="preserve">Date:</w:t>
      </w:r>
      <w:r>
        <w:t xml:space="preserve"> </w:t>
      </w:r>
      <w:r>
        <w:t xml:space="preserve">October 26, 2023</w:t>
      </w:r>
    </w:p>
    <w:bookmarkEnd w:id="28"/>
    <w:p>
      <w:pPr>
        <w:pStyle w:val="BodyText"/>
      </w:pPr>
      <w:r>
        <w:t xml:space="preserve">This Sales Report is exclusively for internal use. Confidentiality maintained in compliance with Myanmar Financial Regulatory Standards.</w:t>
      </w:r>
    </w:p>
    <w:p>
      <w:pPr>
        <w:pStyle w:val="BodyText"/>
      </w:pPr>
      <w:r>
        <w:t xml:space="preserve">Banker Performance Metrics Verified by Yangon Regional Audit Department | Reference ID: YG-2023Q3-SR</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Banking Performance in Yangon, Myanmar</dc:title>
  <dc:creator/>
  <dc:language>en</dc:language>
  <cp:keywords/>
  <dcterms:created xsi:type="dcterms:W3CDTF">2026-07-21T04:57:15Z</dcterms:created>
  <dcterms:modified xsi:type="dcterms:W3CDTF">2026-07-21T04:57:15Z</dcterms:modified>
</cp:coreProperties>
</file>

<file path=docProps/custom.xml><?xml version="1.0" encoding="utf-8"?>
<Properties xmlns="http://schemas.openxmlformats.org/officeDocument/2006/custom-properties" xmlns:vt="http://schemas.openxmlformats.org/officeDocument/2006/docPropsVTypes"/>
</file>