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Banking</w:t>
      </w:r>
      <w:r>
        <w:t xml:space="preserve"> </w:t>
      </w:r>
      <w:r>
        <w:t xml:space="preserve">Sales</w:t>
      </w:r>
      <w:r>
        <w:t xml:space="preserve"> </w:t>
      </w:r>
      <w:r>
        <w:t xml:space="preserve">Performance</w:t>
      </w:r>
      <w:r>
        <w:t xml:space="preserve"> </w:t>
      </w:r>
      <w:r>
        <w:t xml:space="preserve">Report</w:t>
      </w:r>
    </w:p>
    <w:bookmarkStart w:id="30" w:name="X19645a7af44cbe1a5530d4561bc2fa661fecbef"/>
    <w:p>
      <w:pPr>
        <w:pStyle w:val="Heading1"/>
      </w:pPr>
      <w:r>
        <w:t xml:space="preserve">Comprehensive Sales Report: Amsterdam Banking Performance Analysis for 2023-2024</w:t>
      </w:r>
    </w:p>
    <w:bookmarkStart w:id="20" w:name="X4adbd128a55330adf57d5eb4b7886bf1133123d"/>
    <w:p>
      <w:pPr>
        <w:pStyle w:val="Heading2"/>
      </w:pPr>
      <w:r>
        <w:t xml:space="preserve">Introduction: The Strategic Imperative of the Amsterdam Banking Landscape</w:t>
      </w:r>
    </w:p>
    <w:p>
      <w:pPr>
        <w:pStyle w:val="FirstParagraph"/>
      </w:pPr>
      <w:r>
        <w:t xml:space="preserve">This official Sales Report presents an exhaustive analysis of our banking operations within the Netherlands Amsterdam market, serving as a critical strategic document for our executive leadership and sales teams. As one of Europe's premier financial hubs, Amsterdam represents a dynamic ecosystem where global banking standards intersect with local market nuances. Our Banker team has consistently demonstrated exceptional performance in this competitive environment, driving sustainable revenue growth while adhering to stringent Dutch regulatory frameworks. This report meticulously details sales metrics, market insights, and forward-looking strategies that position us at the forefront of financial services in Netherlands Amsterdam.</w:t>
      </w:r>
    </w:p>
    <w:bookmarkEnd w:id="20"/>
    <w:bookmarkStart w:id="21" w:name="Xf8cf428a0256b158a51aa1f389a2436f770c795"/>
    <w:p>
      <w:pPr>
        <w:pStyle w:val="Heading2"/>
      </w:pPr>
      <w:r>
        <w:t xml:space="preserve">Sales Performance: Amsterdam Market Dominance</w:t>
      </w:r>
    </w:p>
    <w:p>
      <w:pPr>
        <w:pStyle w:val="FirstParagraph"/>
      </w:pPr>
      <w:r>
        <w:t xml:space="preserve">The current Sales Report reveals remarkable achievements across all key segments. Our Amsterdam branch achieved a 14.7% year-over-year increase in total sales revenue, significantly outperforming the Netherlands national average of 6.3%. This growth was driven by strategic expansion in corporate banking services (22% growth) and high-net-worth client acquisition (18.5% growth). Notably, our team secured 47 new enterprise clients within the Amsterdam metropolitan area during Q3-Q4 2023 alone – a market-leading figure that underscores our Banker's exceptional client engagement capabilities.</w:t>
      </w:r>
    </w:p>
    <w:p>
      <w:pPr>
        <w:pStyle w:val="BodyText"/>
      </w:pPr>
      <w:r>
        <w:t xml:space="preserve">Product-specific highlights include:</w:t>
      </w:r>
    </w:p>
    <w:p>
      <w:pPr>
        <w:numPr>
          <w:ilvl w:val="0"/>
          <w:numId w:val="1001"/>
        </w:numPr>
        <w:pStyle w:val="Compact"/>
      </w:pPr>
      <w:r>
        <w:t xml:space="preserve">Commercial Lending: €89.2M in new commitments, representing 17% of the Amsterdam corporate lending market share</w:t>
      </w:r>
    </w:p>
    <w:p>
      <w:pPr>
        <w:numPr>
          <w:ilvl w:val="0"/>
          <w:numId w:val="1001"/>
        </w:numPr>
        <w:pStyle w:val="Compact"/>
      </w:pPr>
      <w:r>
        <w:t xml:space="preserve">Wealth Management: 32% growth in AUM (Assets Under Management) with €540M added to portfolios</w:t>
      </w:r>
    </w:p>
    <w:p>
      <w:pPr>
        <w:numPr>
          <w:ilvl w:val="0"/>
          <w:numId w:val="1001"/>
        </w:numPr>
        <w:pStyle w:val="Compact"/>
      </w:pPr>
      <w:r>
        <w:t xml:space="preserve">Corporate Treasury Solutions: 41 new clients acquired, including three major Dutch multinational headquarters based in Amsterdam</w:t>
      </w:r>
    </w:p>
    <w:bookmarkEnd w:id="21"/>
    <w:bookmarkStart w:id="22" w:name="X9f3b86cad8e48fee0eef1131c6f4a7b931c536c"/>
    <w:p>
      <w:pPr>
        <w:pStyle w:val="Heading2"/>
      </w:pPr>
      <w:r>
        <w:t xml:space="preserve">Market Intelligence: Netherlands Amsterdam Competitive Differentiation</w:t>
      </w:r>
    </w:p>
    <w:p>
      <w:pPr>
        <w:pStyle w:val="FirstParagraph"/>
      </w:pPr>
      <w:r>
        <w:t xml:space="preserve">A deep analysis of the Netherlands Amsterdam banking landscape confirms our unique value proposition. While competitors focus on transactional services, our Banker team has pioneered a relationship-centric approach tailored to Amsterdam's business culture. The Sales Report identifies three critical differentiators:</w:t>
      </w:r>
    </w:p>
    <w:p>
      <w:pPr>
        <w:numPr>
          <w:ilvl w:val="0"/>
          <w:numId w:val="1002"/>
        </w:numPr>
        <w:pStyle w:val="Compact"/>
      </w:pPr>
      <w:r>
        <w:rPr>
          <w:bCs/>
          <w:b/>
        </w:rPr>
        <w:t xml:space="preserve">Local Regulatory Mastery</w:t>
      </w:r>
      <w:r>
        <w:t xml:space="preserve">: Our Amsterdam-based Bankers possess in-depth knowledge of Dutch financial regulations (including AML/KYC requirements under the Dutch Financial Markets Authority), enabling seamless compliance while accelerating client onboarding.</w:t>
      </w:r>
    </w:p>
    <w:p>
      <w:pPr>
        <w:numPr>
          <w:ilvl w:val="0"/>
          <w:numId w:val="1002"/>
        </w:numPr>
        <w:pStyle w:val="Compact"/>
      </w:pPr>
      <w:r>
        <w:rPr>
          <w:bCs/>
          <w:b/>
        </w:rPr>
        <w:t xml:space="preserve">Cultural Intelligence</w:t>
      </w:r>
      <w:r>
        <w:t xml:space="preserve">: Understanding the Dutch preference for direct communication and transparency, our Banker sales methodology emphasizes collaborative problem-solving over traditional pitch tactics – a key factor in our 92% client retention rate in Amsterdam.</w:t>
      </w:r>
    </w:p>
    <w:p>
      <w:pPr>
        <w:numPr>
          <w:ilvl w:val="0"/>
          <w:numId w:val="1002"/>
        </w:numPr>
        <w:pStyle w:val="Compact"/>
      </w:pPr>
      <w:r>
        <w:rPr>
          <w:bCs/>
          <w:b/>
        </w:rPr>
        <w:t xml:space="preserve">Technology Integration</w:t>
      </w:r>
      <w:r>
        <w:t xml:space="preserve">: The implementation of our "Amsterdam Digital Suite" (integrated with Dutch tax authorities' systems) reduced transaction processing time by 63%, directly contributing to client satisfaction scores of 4.8/5.0 – the highest in the Netherlands Amsterdam market.</w:t>
      </w:r>
    </w:p>
    <w:bookmarkEnd w:id="22"/>
    <w:bookmarkStart w:id="26" w:name="Xa7d4b80c7bdd58a893ef01be472de30e50c584f"/>
    <w:p>
      <w:pPr>
        <w:pStyle w:val="Heading2"/>
      </w:pPr>
      <w:r>
        <w:t xml:space="preserve">Strategic Initiatives Driving Sales Success</w:t>
      </w:r>
    </w:p>
    <w:p>
      <w:pPr>
        <w:pStyle w:val="FirstParagraph"/>
      </w:pPr>
      <w:r>
        <w:t xml:space="preserve">This Sales Report highlights three transformative initiatives spearheaded by our Amsterdam Banker team that delivered exceptional results:</w:t>
      </w:r>
    </w:p>
    <w:bookmarkStart w:id="23" w:name="amsterdam-business-ecosystem-program"/>
    <w:p>
      <w:pPr>
        <w:pStyle w:val="Heading3"/>
      </w:pPr>
      <w:r>
        <w:t xml:space="preserve">1. "Amsterdam Business Ecosystem" Program</w:t>
      </w:r>
    </w:p>
    <w:p>
      <w:pPr>
        <w:pStyle w:val="FirstParagraph"/>
      </w:pPr>
      <w:r>
        <w:t xml:space="preserve">A targeted initiative connecting corporate clients with complementary Dutch partners (including port authorities, sustainable energy firms, and innovation hubs). This program generated €24M in cross-sell revenue within its first 18 months and positioned our Banker as a strategic business partner rather than a transactional service provider.</w:t>
      </w:r>
    </w:p>
    <w:bookmarkEnd w:id="23"/>
    <w:bookmarkStart w:id="24" w:name="sustainability-finance-accelerator"/>
    <w:p>
      <w:pPr>
        <w:pStyle w:val="Heading3"/>
      </w:pPr>
      <w:r>
        <w:t xml:space="preserve">2. Sustainability Finance Accelerator</w:t>
      </w:r>
    </w:p>
    <w:p>
      <w:pPr>
        <w:pStyle w:val="FirstParagraph"/>
      </w:pPr>
      <w:r>
        <w:t xml:space="preserve">Responding to the Netherlands' Green Deal commitments, our Banker team developed specialized ESG financing products. The initiative captured 28% of Amsterdam's green corporate lending market in Q1 2024 – a figure unmatched by any competitor in Netherlands Amsterdam. This included structuring the first €50M sustainability-linked loan for a major Dutch port operator.</w:t>
      </w:r>
    </w:p>
    <w:bookmarkEnd w:id="24"/>
    <w:bookmarkStart w:id="25" w:name="digital-client-journey-redefinition"/>
    <w:p>
      <w:pPr>
        <w:pStyle w:val="Heading3"/>
      </w:pPr>
      <w:r>
        <w:t xml:space="preserve">3. Digital Client Journey Redefinition</w:t>
      </w:r>
    </w:p>
    <w:p>
      <w:pPr>
        <w:pStyle w:val="FirstParagraph"/>
      </w:pPr>
      <w:r>
        <w:t xml:space="preserve">The Sales Report details how our Banker team re-engineered the client experience using Dutch digital identity standards (DigiD integration). The new platform reduced onboarding time from 14 days to 48 hours, directly contributing to a 35% increase in new client acquisition velocity in Amsterdam. This initiative was specifically designed for Netherlands Amsterdam's high-tech financial culture.</w:t>
      </w:r>
    </w:p>
    <w:bookmarkEnd w:id="25"/>
    <w:bookmarkEnd w:id="26"/>
    <w:bookmarkStart w:id="27" w:name="X33d31435f50bede7ea1b8af72d4e4812081683f"/>
    <w:p>
      <w:pPr>
        <w:pStyle w:val="Heading2"/>
      </w:pPr>
      <w:r>
        <w:t xml:space="preserve">Market Challenges and Adaptive Strategies</w:t>
      </w:r>
    </w:p>
    <w:p>
      <w:pPr>
        <w:pStyle w:val="FirstParagraph"/>
      </w:pPr>
      <w:r>
        <w:t xml:space="preserve">While the Netherlands Amsterdam market presents exceptional opportunities, our Sales Report identifies critical challenges requiring strategic attention:</w:t>
      </w:r>
    </w:p>
    <w:p>
      <w:pPr>
        <w:numPr>
          <w:ilvl w:val="0"/>
          <w:numId w:val="1003"/>
        </w:numPr>
        <w:pStyle w:val="Compact"/>
      </w:pPr>
      <w:r>
        <w:rPr>
          <w:bCs/>
          <w:b/>
        </w:rPr>
        <w:t xml:space="preserve">Economic Volatility</w:t>
      </w:r>
      <w:r>
        <w:t xml:space="preserve">: The 2023 energy transition costs impacted corporate spending patterns. Our Banker team proactively shifted focus to flexible financing solutions (e.g., revenue-based loans), mitigating potential revenue loss by 18%.</w:t>
      </w:r>
    </w:p>
    <w:p>
      <w:pPr>
        <w:numPr>
          <w:ilvl w:val="0"/>
          <w:numId w:val="1003"/>
        </w:numPr>
        <w:pStyle w:val="Compact"/>
      </w:pPr>
      <w:r>
        <w:rPr>
          <w:bCs/>
          <w:b/>
        </w:rPr>
        <w:t xml:space="preserve">Regulatory Complexity</w:t>
      </w:r>
      <w:r>
        <w:t xml:space="preserve">: New Dutch Anti-Money Laundering directives increased compliance burden. The Amsterdam Banker team developed specialized training modules that reduced compliance-related sales delays by 45%, turning a challenge into a competitive advantage.</w:t>
      </w:r>
    </w:p>
    <w:p>
      <w:pPr>
        <w:numPr>
          <w:ilvl w:val="0"/>
          <w:numId w:val="1003"/>
        </w:numPr>
        <w:pStyle w:val="Compact"/>
      </w:pPr>
      <w:r>
        <w:rPr>
          <w:bCs/>
          <w:b/>
        </w:rPr>
        <w:t xml:space="preserve">Talent Retention</w:t>
      </w:r>
      <w:r>
        <w:t xml:space="preserve">: The tight Amsterdam banking talent market required innovative engagement strategies. Our Banker development program (featuring Dutch language immersion and local cultural training) achieved 97% team retention – exceeding industry standards by 32 percentage points.</w:t>
      </w:r>
    </w:p>
    <w:bookmarkEnd w:id="27"/>
    <w:bookmarkStart w:id="28" w:name="X226c15c4365ba2fd119df6b6c0931e98f1ae0e0"/>
    <w:p>
      <w:pPr>
        <w:pStyle w:val="Heading2"/>
      </w:pPr>
      <w:r>
        <w:t xml:space="preserve">Future Outlook: Scaling Success in Netherlands Amsterdam</w:t>
      </w:r>
    </w:p>
    <w:p>
      <w:pPr>
        <w:pStyle w:val="FirstParagraph"/>
      </w:pPr>
      <w:r>
        <w:t xml:space="preserve">Based on current momentum, this Sales Report projects a minimum 16% sales growth for the Amsterdam branch in 2024-2025. Key initiatives include:</w:t>
      </w:r>
    </w:p>
    <w:p>
      <w:pPr>
        <w:numPr>
          <w:ilvl w:val="0"/>
          <w:numId w:val="1004"/>
        </w:numPr>
        <w:pStyle w:val="Compact"/>
      </w:pPr>
      <w:r>
        <w:t xml:space="preserve">Expanding the "Amsterdam Green Hub" to target EU climate finance mandates</w:t>
      </w:r>
    </w:p>
    <w:p>
      <w:pPr>
        <w:numPr>
          <w:ilvl w:val="0"/>
          <w:numId w:val="1004"/>
        </w:numPr>
        <w:pStyle w:val="Compact"/>
      </w:pPr>
      <w:r>
        <w:t xml:space="preserve">Introducing blockchain-based trade finance solutions tailored for Rotterdam-Amselmond corridor businesses</w:t>
      </w:r>
    </w:p>
    <w:p>
      <w:pPr>
        <w:numPr>
          <w:ilvl w:val="0"/>
          <w:numId w:val="1004"/>
        </w:numPr>
        <w:pStyle w:val="Compact"/>
      </w:pPr>
      <w:r>
        <w:t xml:space="preserve">Developing a dedicated Dutch SME Growth Program leveraging Amsterdam's innovation ecosystem</w:t>
      </w:r>
    </w:p>
    <w:bookmarkEnd w:id="28"/>
    <w:bookmarkStart w:id="29" w:name="Xe35f01ca0a6f747e0865400f85aef380dc8ddf1"/>
    <w:p>
      <w:pPr>
        <w:pStyle w:val="Heading2"/>
      </w:pPr>
      <w:r>
        <w:t xml:space="preserve">Conclusion: The Banker as Strategic Growth Catalyst</w:t>
      </w:r>
    </w:p>
    <w:p>
      <w:pPr>
        <w:pStyle w:val="FirstParagraph"/>
      </w:pPr>
      <w:r>
        <w:t xml:space="preserve">This Sales Report conclusively demonstrates that our Amsterdam Banker team has become the engine of growth for our organization in Netherlands Amsterdam. Through data-driven client acquisition, market-specific innovation, and deep cultural intelligence, we've established an unassailable position in one of Europe's most sophisticated banking markets. The success documented here validates our strategic investment in localized expertise – proving that when Banker teams master the nuances of Netherlands Amsterdam's financial ecosystem, sustainable revenue growth becomes inevitable. As we enter the new fiscal year, this Sales Report serves as both a celebration of achievement and a roadmap for continued leadership in Dutch financial services.</w:t>
      </w:r>
    </w:p>
    <w:p>
      <w:pPr>
        <w:pStyle w:val="BodyText"/>
      </w:pPr>
      <w:r>
        <w:rPr>
          <w:iCs/>
          <w:i/>
        </w:rPr>
        <w:t xml:space="preserve">Prepared by: Global Banking Analytics Team</w:t>
      </w:r>
      <w:r>
        <w:br/>
      </w:r>
      <w:r>
        <w:rPr>
          <w:iCs/>
          <w:i/>
        </w:rPr>
        <w:t xml:space="preserve">Report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Banking Sales Performance Report</dc:title>
  <dc:creator/>
  <dc:language>en</dc:language>
  <cp:keywords/>
  <dcterms:created xsi:type="dcterms:W3CDTF">2026-07-23T10:40:51Z</dcterms:created>
  <dcterms:modified xsi:type="dcterms:W3CDTF">2026-07-23T10:40:51Z</dcterms:modified>
</cp:coreProperties>
</file>

<file path=docProps/custom.xml><?xml version="1.0" encoding="utf-8"?>
<Properties xmlns="http://schemas.openxmlformats.org/officeDocument/2006/custom-properties" xmlns:vt="http://schemas.openxmlformats.org/officeDocument/2006/docPropsVTypes"/>
</file>