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New</w:t>
      </w:r>
      <w:r>
        <w:t xml:space="preserve"> </w:t>
      </w:r>
      <w:r>
        <w:t xml:space="preserve">Zealand</w:t>
      </w:r>
      <w:r>
        <w:t xml:space="preserve"> </w:t>
      </w:r>
      <w:r>
        <w:t xml:space="preserve">Auckland</w:t>
      </w:r>
      <w:r>
        <w:t xml:space="preserve"> </w:t>
      </w:r>
      <w:r>
        <w:t xml:space="preserve">Banker</w:t>
      </w:r>
      <w:r>
        <w:t xml:space="preserve"> </w:t>
      </w:r>
      <w:r>
        <w:t xml:space="preserve">Sales</w:t>
      </w:r>
      <w:r>
        <w:t xml:space="preserve"> </w:t>
      </w:r>
      <w:r>
        <w:t xml:space="preserve">Report</w:t>
      </w:r>
    </w:p>
    <w:bookmarkStart w:id="27" w:name="Xf63ab5492d7d3bbd20a96e1e40778db294ca7d1"/>
    <w:p>
      <w:pPr>
        <w:pStyle w:val="Heading1"/>
      </w:pPr>
      <w:r>
        <w:t xml:space="preserve">Comprehensive Sales Report: Banking Performance in New Zealand Auckland - Q3 2023</w:t>
      </w:r>
    </w:p>
    <w:bookmarkStart w:id="20" w:name="executive-summary"/>
    <w:p>
      <w:pPr>
        <w:pStyle w:val="Heading2"/>
      </w:pPr>
      <w:r>
        <w:t xml:space="preserve">Executive Summary</w:t>
      </w:r>
    </w:p>
    <w:p>
      <w:pPr>
        <w:pStyle w:val="FirstParagraph"/>
      </w:pPr>
      <w:r>
        <w:t xml:space="preserve">This quarterly Sales Report details the performance of our banking operations across New Zealand Auckland, focusing on strategic initiatives executed by our dedicated Banker team. The report confirms strong growth in client acquisition and portfolio expansion, with Auckland demonstrating resilience amid national economic fluctuations. As the largest financial hub in New Zealand, Auckland's market dynamics directly influence our Banker strategy, requiring agile adaptation to local consumer behavior and regulatory frameworks. Our Q3 performance reflects a 12.7% year-over-year increase in managed assets, solidifying our position as a leading banking provider within the Auckland ecosystem.</w:t>
      </w:r>
    </w:p>
    <w:bookmarkEnd w:id="20"/>
    <w:bookmarkStart w:id="21" w:name="sales-performance-overview"/>
    <w:p>
      <w:pPr>
        <w:pStyle w:val="Heading2"/>
      </w:pPr>
      <w:r>
        <w:t xml:space="preserve">Sales Performance Overview</w:t>
      </w:r>
    </w:p>
    <w:p>
      <w:pPr>
        <w:pStyle w:val="FirstParagraph"/>
      </w:pPr>
      <w:r>
        <w:t xml:space="preserve">In the New Zealand Auckland market, our Banker team achieved NZD $485 million in new client acquisitions and secured NZD $1.7 billion in new business commitments during Q3 2023. These results surpass our regional target by 18.3%, driven primarily by targeted commercial lending and high-net-worth individual (HNWI) onboarding initiatives. The Auckland sales pipeline grew to NZD $2.9 billion, with a 45% increase in qualified leads compared to Q2, directly attributable to our Banker team's enhanced relationship management protocols.</w:t>
      </w:r>
    </w:p>
    <w:p>
      <w:pPr>
        <w:pStyle w:val="BodyText"/>
      </w:pPr>
      <w:r>
        <w:t xml:space="preserve">Key metrics illustrating our Auckland performance include:</w:t>
      </w:r>
    </w:p>
    <w:p>
      <w:pPr>
        <w:numPr>
          <w:ilvl w:val="0"/>
          <w:numId w:val="1001"/>
        </w:numPr>
        <w:pStyle w:val="Compact"/>
      </w:pPr>
      <w:r>
        <w:rPr>
          <w:bCs/>
          <w:b/>
        </w:rPr>
        <w:t xml:space="preserve">Commercial Lending:</w:t>
      </w:r>
      <w:r>
        <w:t xml:space="preserve"> </w:t>
      </w:r>
      <w:r>
        <w:t xml:space="preserve">NZD $980 million disbursed (32% above target), with significant growth in construction and retail sector financing</w:t>
      </w:r>
    </w:p>
    <w:p>
      <w:pPr>
        <w:numPr>
          <w:ilvl w:val="0"/>
          <w:numId w:val="1001"/>
        </w:numPr>
        <w:pStyle w:val="Compact"/>
      </w:pPr>
      <w:r>
        <w:rPr>
          <w:bCs/>
          <w:b/>
        </w:rPr>
        <w:t xml:space="preserve">Retail Banking:</w:t>
      </w:r>
      <w:r>
        <w:t xml:space="preserve"> </w:t>
      </w:r>
      <w:r>
        <w:t xml:space="preserve">14,500 new personal accounts opened (+27% YoY) through our mobile banking platform enhancements</w:t>
      </w:r>
    </w:p>
    <w:p>
      <w:pPr>
        <w:numPr>
          <w:ilvl w:val="0"/>
          <w:numId w:val="1001"/>
        </w:numPr>
        <w:pStyle w:val="Compact"/>
      </w:pPr>
      <w:r>
        <w:rPr>
          <w:bCs/>
          <w:b/>
        </w:rPr>
        <w:t xml:space="preserve">Investment Services:</w:t>
      </w:r>
      <w:r>
        <w:t xml:space="preserve"> </w:t>
      </w:r>
      <w:r>
        <w:t xml:space="preserve">NZD $630 million in managed assets added, driven by retirement planning solutions for Auckland's aging population</w:t>
      </w:r>
    </w:p>
    <w:p>
      <w:pPr>
        <w:numPr>
          <w:ilvl w:val="0"/>
          <w:numId w:val="1001"/>
        </w:numPr>
        <w:pStyle w:val="Compact"/>
      </w:pPr>
      <w:r>
        <w:rPr>
          <w:bCs/>
          <w:b/>
        </w:rPr>
        <w:t xml:space="preserve">Client Retention Rate:</w:t>
      </w:r>
      <w:r>
        <w:t xml:space="preserve"> </w:t>
      </w:r>
      <w:r>
        <w:t xml:space="preserve">92.4% (exceeding national average of 87.1%) across all Auckland branches</w:t>
      </w:r>
    </w:p>
    <w:bookmarkEnd w:id="21"/>
    <w:bookmarkStart w:id="22" w:name="Xd0f6309c24b94b64b27730e0cf4fef1f2bdc497"/>
    <w:p>
      <w:pPr>
        <w:pStyle w:val="Heading2"/>
      </w:pPr>
      <w:r>
        <w:t xml:space="preserve">Regional Market Analysis: New Zealand Auckland Context</w:t>
      </w:r>
    </w:p>
    <w:p>
      <w:pPr>
        <w:pStyle w:val="FirstParagraph"/>
      </w:pPr>
      <w:r>
        <w:t xml:space="preserve">Auckland's economic landscape presents unique opportunities and challenges for our Banker operations. As New Zealand's commercial capital housing 36% of the nation's population, we've observed distinct market segmentation:</w:t>
      </w:r>
    </w:p>
    <w:p>
      <w:pPr>
        <w:pStyle w:val="BodyText"/>
      </w:pPr>
      <w:r>
        <w:rPr>
          <w:bCs/>
          <w:b/>
        </w:rPr>
        <w:t xml:space="preserve">Geographic Insights:</w:t>
      </w:r>
      <w:r>
        <w:t xml:space="preserve"> </w:t>
      </w:r>
      <w:r>
        <w:t xml:space="preserve">Sales performance varies significantly across Auckland regions. The central business district (CBD) recorded 22% higher commercial loan uptake versus suburbs, while North Shore and Manukau demonstrated exceptional growth in retail banking (+31% accounts). Our Banker team deployed hyper-localized strategies—such as CBD-focused SME workshops and Manukau community financial literacy programs—to capitalize on these patterns.</w:t>
      </w:r>
    </w:p>
    <w:p>
      <w:pPr>
        <w:pStyle w:val="BodyText"/>
      </w:pPr>
      <w:r>
        <w:rPr>
          <w:bCs/>
          <w:b/>
        </w:rPr>
        <w:t xml:space="preserve">Market Trends:</w:t>
      </w:r>
      <w:r>
        <w:t xml:space="preserve"> </w:t>
      </w:r>
      <w:r>
        <w:t xml:space="preserve">Auckland's property market volatility directly impacted our mortgage sales. While residential lending declined 8% quarter-over-quarter, we offset this through strategic expansion into commercial real estate financing (+39%). The Banker team successfully pivoted to emphasize property development loans as Auckland's construction sector rebounded.</w:t>
      </w:r>
    </w:p>
    <w:bookmarkEnd w:id="22"/>
    <w:bookmarkStart w:id="23" w:name="product-specific-sales-breakdown"/>
    <w:p>
      <w:pPr>
        <w:pStyle w:val="Heading2"/>
      </w:pPr>
      <w:r>
        <w:t xml:space="preserve">Product-Specific Sales Breakdown</w:t>
      </w:r>
    </w:p>
    <w:p>
      <w:pPr>
        <w:pStyle w:val="FirstParagraph"/>
      </w:pPr>
      <w:r>
        <w:t xml:space="preserve">Our Q3 sales performance was engineered through targeted product offerings aligned with Auckland's economic pulse:</w:t>
      </w:r>
    </w:p>
    <w:p>
      <w:pPr>
        <w:numPr>
          <w:ilvl w:val="0"/>
          <w:numId w:val="1002"/>
        </w:numPr>
        <w:pStyle w:val="Compact"/>
      </w:pPr>
      <w:r>
        <w:rPr>
          <w:bCs/>
          <w:b/>
        </w:rPr>
        <w:t xml:space="preserve">Business Loans:</w:t>
      </w:r>
      <w:r>
        <w:t xml:space="preserve"> </w:t>
      </w:r>
      <w:r>
        <w:t xml:space="preserve">NZD $710 million (56% of total new lending). The Banker team secured major contracts with Auckland-based tech startups and tourism operators, including a NZD $185 million facility for a Kiwi-owned hospitality group expanding across Northland and Auckland.</w:t>
      </w:r>
    </w:p>
    <w:p>
      <w:pPr>
        <w:numPr>
          <w:ilvl w:val="0"/>
          <w:numId w:val="1002"/>
        </w:numPr>
        <w:pStyle w:val="Compact"/>
      </w:pPr>
      <w:r>
        <w:rPr>
          <w:bCs/>
          <w:b/>
        </w:rPr>
        <w:t xml:space="preserve">Wealth Management:</w:t>
      </w:r>
      <w:r>
        <w:t xml:space="preserve"> </w:t>
      </w:r>
      <w:r>
        <w:t xml:space="preserve">NZD $420 million in new assets under management. Key initiatives included tailored retirement plans for Auckland's growing elderly population and ESG-focused investment products meeting rising demand from the city's corporate sector.</w:t>
      </w:r>
    </w:p>
    <w:p>
      <w:pPr>
        <w:numPr>
          <w:ilvl w:val="0"/>
          <w:numId w:val="1002"/>
        </w:numPr>
        <w:pStyle w:val="Compact"/>
      </w:pPr>
      <w:r>
        <w:rPr>
          <w:bCs/>
          <w:b/>
        </w:rPr>
        <w:t xml:space="preserve">Digital Banking:</w:t>
      </w:r>
      <w:r>
        <w:t xml:space="preserve"> </w:t>
      </w:r>
      <w:r>
        <w:t xml:space="preserve">68% of new accounts originated through mobile channels, reflecting our Banker team's successful integration of digital tools into client onboarding. The "Auckland Access" app saw 145,000 downloads in Q3.</w:t>
      </w:r>
    </w:p>
    <w:bookmarkEnd w:id="23"/>
    <w:bookmarkStart w:id="24" w:name="challenges-and-strategic-adjustments"/>
    <w:p>
      <w:pPr>
        <w:pStyle w:val="Heading2"/>
      </w:pPr>
      <w:r>
        <w:t xml:space="preserve">Challenges and Strategic Adjustments</w:t>
      </w:r>
    </w:p>
    <w:p>
      <w:pPr>
        <w:pStyle w:val="FirstParagraph"/>
      </w:pPr>
      <w:r>
        <w:t xml:space="preserve">Despite strong results, our Banker team navigated key challenges specific to the New Zealand Auckland market:</w:t>
      </w:r>
    </w:p>
    <w:p>
      <w:pPr>
        <w:pStyle w:val="BodyText"/>
      </w:pPr>
      <w:r>
        <w:rPr>
          <w:bCs/>
          <w:b/>
        </w:rPr>
        <w:t xml:space="preserve">Regulatory Shifts:</w:t>
      </w:r>
      <w:r>
        <w:t xml:space="preserve"> </w:t>
      </w:r>
      <w:r>
        <w:t xml:space="preserve">New Reserve Bank reporting requirements necessitated extensive staff retraining. Our Auckland-based Banker team developed a dedicated compliance dashboard that reduced processing time by 37% and maintained 100% regulatory adherence.</w:t>
      </w:r>
    </w:p>
    <w:p>
      <w:pPr>
        <w:pStyle w:val="BodyText"/>
      </w:pPr>
      <w:r>
        <w:rPr>
          <w:bCs/>
          <w:b/>
        </w:rPr>
        <w:t xml:space="preserve">Competitive Pressure:</w:t>
      </w:r>
      <w:r>
        <w:t xml:space="preserve"> </w:t>
      </w:r>
      <w:r>
        <w:t xml:space="preserve">Intensified competition from neobanks required our Banker team to emphasize relationship depth over digital convenience. We implemented "Auckland Relationship Builder" programs, including quarterly client strategy sessions with regional economists, resulting in a 24% higher conversion rate on premium services.</w:t>
      </w:r>
    </w:p>
    <w:p>
      <w:pPr>
        <w:pStyle w:val="BodyText"/>
      </w:pPr>
      <w:r>
        <w:rPr>
          <w:bCs/>
          <w:b/>
        </w:rPr>
        <w:t xml:space="preserve">Local Economic Factors:</w:t>
      </w:r>
      <w:r>
        <w:t xml:space="preserve"> </w:t>
      </w:r>
      <w:r>
        <w:t xml:space="preserve">Auckland's high cost of living impacted retail deposit growth. Our solution was launching the "Auckland Savings Shield" product—offering higher rates for recurring deposits tied to local community initiatives—which attracted NZD $210 million in new deposits.</w:t>
      </w:r>
    </w:p>
    <w:bookmarkEnd w:id="24"/>
    <w:bookmarkStart w:id="25" w:name="Xbbec7bb0ede468cbc2dd36ecb5aa3be463b86a8"/>
    <w:p>
      <w:pPr>
        <w:pStyle w:val="Heading2"/>
      </w:pPr>
      <w:r>
        <w:t xml:space="preserve">Action Plan: Future-Proofing our Auckland Sales Strategy</w:t>
      </w:r>
    </w:p>
    <w:p>
      <w:pPr>
        <w:pStyle w:val="FirstParagraph"/>
      </w:pPr>
      <w:r>
        <w:t xml:space="preserve">Building on Q3 success, our Banker team has formulated a 6-month action plan focused on sustainable growth:</w:t>
      </w:r>
    </w:p>
    <w:p>
      <w:pPr>
        <w:numPr>
          <w:ilvl w:val="0"/>
          <w:numId w:val="1003"/>
        </w:numPr>
        <w:pStyle w:val="Compact"/>
      </w:pPr>
      <w:r>
        <w:rPr>
          <w:bCs/>
          <w:b/>
        </w:rPr>
        <w:t xml:space="preserve">Hyperlocal Market Expansion:</w:t>
      </w:r>
      <w:r>
        <w:t xml:space="preserve"> </w:t>
      </w:r>
      <w:r>
        <w:t xml:space="preserve">Targeting North Shore's affluent demographics with bespoke wealth solutions and expanding commercial lending in Auckland's growing industrial zones (e.g., Wiri, Māngere).</w:t>
      </w:r>
    </w:p>
    <w:p>
      <w:pPr>
        <w:numPr>
          <w:ilvl w:val="0"/>
          <w:numId w:val="1003"/>
        </w:numPr>
        <w:pStyle w:val="Compact"/>
      </w:pPr>
      <w:r>
        <w:rPr>
          <w:bCs/>
          <w:b/>
        </w:rPr>
        <w:t xml:space="preserve">Talent Development:</w:t>
      </w:r>
      <w:r>
        <w:t xml:space="preserve"> </w:t>
      </w:r>
      <w:r>
        <w:t xml:space="preserve">Launching "Auckland Banking Excellence" certification for all Banker staff, incorporating local market training modules on housing trends and business cycles.</w:t>
      </w:r>
    </w:p>
    <w:p>
      <w:pPr>
        <w:numPr>
          <w:ilvl w:val="0"/>
          <w:numId w:val="1003"/>
        </w:numPr>
        <w:pStyle w:val="Compact"/>
      </w:pPr>
      <w:r>
        <w:rPr>
          <w:bCs/>
          <w:b/>
        </w:rPr>
        <w:t xml:space="preserve">Technology Integration:</w:t>
      </w:r>
      <w:r>
        <w:t xml:space="preserve"> </w:t>
      </w:r>
      <w:r>
        <w:t xml:space="preserve">Implementing AI-driven customer segmentation to predict Auckland-specific needs (e.g., anticipating construction boom in specific suburbs).</w:t>
      </w:r>
    </w:p>
    <w:p>
      <w:pPr>
        <w:numPr>
          <w:ilvl w:val="0"/>
          <w:numId w:val="1003"/>
        </w:numPr>
        <w:pStyle w:val="Compact"/>
      </w:pPr>
      <w:r>
        <w:rPr>
          <w:bCs/>
          <w:b/>
        </w:rPr>
        <w:t xml:space="preserve">Sustainability Focus:</w:t>
      </w:r>
      <w:r>
        <w:t xml:space="preserve"> </w:t>
      </w:r>
      <w:r>
        <w:t xml:space="preserve">Developing "Green Auckland" loan products for environmentally certified commercial properties, aligning with the city's net-zero targets.</w:t>
      </w:r>
    </w:p>
    <w:bookmarkEnd w:id="25"/>
    <w:bookmarkStart w:id="26" w:name="X17274c80332253f925c80bada8c077ca0e4a7af"/>
    <w:p>
      <w:pPr>
        <w:pStyle w:val="Heading2"/>
      </w:pPr>
      <w:r>
        <w:t xml:space="preserve">Conclusion: The Banker Advantage in New Zealand Auckland</w:t>
      </w:r>
    </w:p>
    <w:p>
      <w:pPr>
        <w:pStyle w:val="FirstParagraph"/>
      </w:pPr>
      <w:r>
        <w:t xml:space="preserve">This Sales Report underscores how our Banker team's deep understanding of New Zealand Auckland's unique economic fabric drives exceptional results. By embedding local market intelligence into every client interaction—from CBD corporate clients to Manukau community groups—we've transformed sales strategy from transactional to relationship-based. The 12.7% asset growth in Auckland outpaces both national banking sector averages (5.8%) and our own regional benchmarks by 40%.</w:t>
      </w:r>
    </w:p>
    <w:p>
      <w:pPr>
        <w:pStyle w:val="BodyText"/>
      </w:pPr>
      <w:r>
        <w:t xml:space="preserve">As New Zealand's financial capital continues evolving, our Banker team remains positioned to lead through adaptive expertise and community-centric service. The success demonstrated in this report isn't merely about numbers—it represents a cultural shift where banking becomes inherently local. For every new account opened in Auckland, every business loan secured, and every retirement plan structured, our Banker delivers not just financial solutions but tangible contributions to New Zealand's economic landscape. This localized approach isn't optional; it's the foundation of sustainable growth in Auckland—and the blueprint for national expansion.</w:t>
      </w:r>
    </w:p>
    <w:p>
      <w:pPr>
        <w:pStyle w:val="BodyText"/>
      </w:pPr>
      <w:r>
        <w:rPr>
          <w:bCs/>
          <w:b/>
        </w:rPr>
        <w:t xml:space="preserve">Prepared by:</w:t>
      </w:r>
      <w:r>
        <w:t xml:space="preserve"> </w:t>
      </w:r>
      <w:r>
        <w:t xml:space="preserve">Auckland Regional Banking Strategy Office</w:t>
      </w:r>
      <w:r>
        <w:br/>
      </w:r>
      <w:r>
        <w:rPr>
          <w:bCs/>
          <w:b/>
        </w:rPr>
        <w:t xml:space="preserve">Date:</w:t>
      </w:r>
      <w:r>
        <w:t xml:space="preserve"> </w:t>
      </w:r>
      <w:r>
        <w:t xml:space="preserve">October 15, 2023</w:t>
      </w:r>
      <w:r>
        <w:br/>
      </w:r>
      <w:r>
        <w:rPr>
          <w:bCs/>
          <w:b/>
        </w:rPr>
        <w:t xml:space="preserve">Confidentiality:</w:t>
      </w:r>
      <w:r>
        <w:t xml:space="preserve"> </w:t>
      </w:r>
      <w:r>
        <w:t xml:space="preserve">This Sales Report is proprietary to [Bank Name] and intended solely for internal use within New Zealand Auckland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Auckland Banker Sales Report</dc:title>
  <dc:creator/>
  <dc:language>en</dc:language>
  <cp:keywords/>
  <dcterms:created xsi:type="dcterms:W3CDTF">2025-12-11T06:49:05Z</dcterms:created>
  <dcterms:modified xsi:type="dcterms:W3CDTF">2025-12-11T06:49:05Z</dcterms:modified>
</cp:coreProperties>
</file>

<file path=docProps/custom.xml><?xml version="1.0" encoding="utf-8"?>
<Properties xmlns="http://schemas.openxmlformats.org/officeDocument/2006/custom-properties" xmlns:vt="http://schemas.openxmlformats.org/officeDocument/2006/docPropsVTypes"/>
</file>