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701bfdeeff68c52dab836704a11d37e412127c0"/>
    <w:p>
      <w:pPr>
        <w:pStyle w:val="Heading1"/>
      </w:pPr>
      <w:r>
        <w:t xml:space="preserve">SALES REPORT FOR BANKING PERFORMANCE</w:t>
      </w:r>
      <w:r>
        <w:br/>
      </w:r>
      <w:r>
        <w:t xml:space="preserve">NEW ZEALAND WELLINGTON REGION</w:t>
      </w:r>
    </w:p>
    <w:p>
      <w:pPr>
        <w:pStyle w:val="FirstParagraph"/>
      </w:pPr>
      <w:r>
        <w:t xml:space="preserve">Prepared for Senior Leadership Team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banking operations across the New Zealand Wellington region during Q3 2023. As a leading Banker in Aotearoa, our Wellington branch has demonstrated exceptional growth in client acquisition, portfolio expansion, and market share within this critical economic hub. The report confirms that strategic initiatives aligned with local business needs have positioned us as the preferred Banking partner for over 85% of new commercial clients in the Wellington metropolitan area. This Sales Report underscores how our Banker team's deep understanding of Wellington's unique economic landscape directly translates to measurable success.</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Value</w:t>
            </w:r>
          </w:p>
        </w:tc>
        <w:tc>
          <w:tcPr/>
          <w:p>
            <w:pPr>
              <w:pStyle w:val="Compact"/>
              <w:jc w:val="left"/>
            </w:pPr>
            <w:r>
              <w:t xml:space="preserve">Q2 2023 Value</w:t>
            </w:r>
          </w:p>
        </w:tc>
        <w:tc>
          <w:tcPr/>
          <w:p>
            <w:pPr>
              <w:pStyle w:val="Compact"/>
              <w:jc w:val="left"/>
            </w:pPr>
            <w:r>
              <w:t xml:space="preserve">% Change</w:t>
            </w:r>
          </w:p>
        </w:tc>
      </w:tr>
      <w:tr>
        <w:tc>
          <w:tcPr/>
          <w:p>
            <w:pPr>
              <w:pStyle w:val="Compact"/>
              <w:jc w:val="left"/>
            </w:pPr>
            <w:r>
              <w:t xml:space="preserve">New Commercial Client Acquisition (Wellington)</w:t>
            </w:r>
          </w:p>
        </w:tc>
        <w:tc>
          <w:tcPr/>
          <w:p>
            <w:pPr>
              <w:pStyle w:val="Compact"/>
              <w:jc w:val="left"/>
            </w:pPr>
            <w:r>
              <w:t xml:space="preserve">147 clients</w:t>
            </w:r>
          </w:p>
        </w:tc>
        <w:tc>
          <w:tcPr/>
          <w:p>
            <w:pPr>
              <w:pStyle w:val="Compact"/>
              <w:jc w:val="left"/>
            </w:pPr>
            <w:r>
              <w:t xml:space="preserve">118 clients</w:t>
            </w:r>
          </w:p>
        </w:tc>
        <w:tc>
          <w:tcPr/>
          <w:p>
            <w:pPr>
              <w:pStyle w:val="Compact"/>
              <w:jc w:val="left"/>
            </w:pPr>
            <w:r>
              <w:t xml:space="preserve">+24.6%</w:t>
            </w:r>
          </w:p>
        </w:tc>
      </w:tr>
      <w:tr>
        <w:tc>
          <w:tcPr/>
          <w:p>
            <w:pPr>
              <w:pStyle w:val="Compact"/>
              <w:jc w:val="left"/>
            </w:pPr>
            <w:r>
              <w:t xml:space="preserve">Total Portfolio Growth ($M)</w:t>
            </w:r>
          </w:p>
        </w:tc>
        <w:tc>
          <w:tcPr/>
          <w:p>
            <w:pPr>
              <w:pStyle w:val="Compact"/>
              <w:jc w:val="left"/>
            </w:pPr>
            <w:r>
              <w:t xml:space="preserve">$78.3M</w:t>
            </w:r>
          </w:p>
        </w:tc>
        <w:tc>
          <w:tcPr/>
          <w:p>
            <w:pPr>
              <w:pStyle w:val="Compact"/>
              <w:jc w:val="left"/>
            </w:pPr>
            <w:r>
              <w:t xml:space="preserve">$65.1M</w:t>
            </w:r>
          </w:p>
        </w:tc>
        <w:tc>
          <w:tcPr/>
          <w:p>
            <w:pPr>
              <w:pStyle w:val="Compact"/>
              <w:jc w:val="left"/>
            </w:pPr>
            <w:r>
              <w:t xml:space="preserve">+20.3%</w:t>
            </w:r>
          </w:p>
        </w:tc>
      </w:tr>
      <w:tr>
        <w:tc>
          <w:tcPr/>
          <w:p>
            <w:pPr>
              <w:pStyle w:val="Compact"/>
              <w:jc w:val="left"/>
            </w:pPr>
            <w:r>
              <w:t xml:space="preserve">Residential Mortgage Volume (Wellington)</w:t>
            </w:r>
          </w:p>
        </w:tc>
        <w:tc>
          <w:tcPr/>
          <w:p>
            <w:pPr>
              <w:pStyle w:val="Compact"/>
              <w:jc w:val="left"/>
            </w:pPr>
            <w:r>
              <w:t xml:space="preserve">98 loans</w:t>
            </w:r>
          </w:p>
        </w:tc>
        <w:tc>
          <w:tcPr/>
          <w:p>
            <w:pPr>
              <w:pStyle w:val="Compact"/>
              <w:jc w:val="left"/>
            </w:pPr>
            <w:r>
              <w:t xml:space="preserve">76 loans</w:t>
            </w:r>
          </w:p>
        </w:tc>
        <w:tc>
          <w:tcPr/>
          <w:p>
            <w:pPr>
              <w:pStyle w:val="Compact"/>
              <w:jc w:val="left"/>
            </w:pPr>
            <w:r>
              <w:t xml:space="preserve">+28.9%</w:t>
            </w:r>
          </w:p>
        </w:tc>
      </w:tr>
      <w:tr>
        <w:tc>
          <w:tcPr/>
          <w:p>
            <w:pPr>
              <w:pStyle w:val="Compact"/>
              <w:jc w:val="left"/>
            </w:pPr>
            <w:r>
              <w:t xml:space="preserve">Client Satisfaction Score (Net Promoter)</w:t>
            </w:r>
          </w:p>
        </w:tc>
        <w:tc>
          <w:tcPr/>
          <w:p>
            <w:pPr>
              <w:pStyle w:val="Compact"/>
              <w:jc w:val="left"/>
            </w:pPr>
            <w:r>
              <w:t xml:space="preserve">76</w:t>
            </w:r>
          </w:p>
        </w:tc>
        <w:tc>
          <w:tcPr/>
          <w:p>
            <w:pPr>
              <w:pStyle w:val="Compact"/>
              <w:jc w:val="left"/>
            </w:pPr>
            <w:r>
              <w:t xml:space="preserve">71</w:t>
            </w:r>
          </w:p>
        </w:tc>
        <w:tc>
          <w:tcPr/>
          <w:p>
            <w:pPr>
              <w:pStyle w:val="Compact"/>
              <w:jc w:val="left"/>
            </w:pPr>
            <w:r>
              <w:t xml:space="preserve">+5 points</w:t>
            </w:r>
          </w:p>
        </w:tc>
      </w:tr>
    </w:tbl>
    <w:p>
      <w:pPr>
        <w:pStyle w:val="BodyText"/>
      </w:pPr>
      <w:r>
        <w:t xml:space="preserve">The data reveals significant momentum across all key business lines. Notably, our Banker team in New Zealand Wellington achieved a 24.6% increase in new commercial clients – exceeding regional market growth by 37% and setting a new quarterly record. This success stems from tailored solutions addressing Wellington's unique business environment, including specialized financing for tourism recovery, government sector contracts, and the growing green economy initiatives.</w:t>
      </w:r>
    </w:p>
    <w:bookmarkEnd w:id="21"/>
    <w:bookmarkStart w:id="22" w:name="market-analysis-why-wellington-wins"/>
    <w:p>
      <w:pPr>
        <w:pStyle w:val="Heading2"/>
      </w:pPr>
      <w:r>
        <w:t xml:space="preserve">Market Analysis: Why Wellington Wins</w:t>
      </w:r>
    </w:p>
    <w:p>
      <w:pPr>
        <w:pStyle w:val="FirstParagraph"/>
      </w:pPr>
      <w:r>
        <w:t xml:space="preserve">Wellington's position as New Zealand's political capital and a major technology hub creates distinct banking opportunities. This Sales Report identifies three critical success factors for our Banker team:</w:t>
      </w:r>
    </w:p>
    <w:p>
      <w:pPr>
        <w:numPr>
          <w:ilvl w:val="0"/>
          <w:numId w:val="1001"/>
        </w:numPr>
        <w:pStyle w:val="Compact"/>
      </w:pPr>
      <w:r>
        <w:rPr>
          <w:bCs/>
          <w:b/>
        </w:rPr>
        <w:t xml:space="preserve">Hyper-Local Expertise:</w:t>
      </w:r>
      <w:r>
        <w:t xml:space="preserve"> </w:t>
      </w:r>
      <w:r>
        <w:t xml:space="preserve">Our Wellington-based Banker specialists developed industry-specific solutions for key sectors including government contracting, maritime logistics, and creative industries – all vital to the regional economy.</w:t>
      </w:r>
    </w:p>
    <w:p>
      <w:pPr>
        <w:numPr>
          <w:ilvl w:val="0"/>
          <w:numId w:val="1001"/>
        </w:numPr>
        <w:pStyle w:val="Compact"/>
      </w:pPr>
      <w:r>
        <w:rPr>
          <w:bCs/>
          <w:b/>
        </w:rPr>
        <w:t xml:space="preserve">Sustainability Focus:</w:t>
      </w:r>
      <w:r>
        <w:t xml:space="preserve"> </w:t>
      </w:r>
      <w:r>
        <w:t xml:space="preserve">68% of new commercial clients in Q3 requested ESG-compliant financing. We launched the "Wellington Green Business Initiative" (WGBI), offering preferential rates for carbon-neutral operations – directly aligning with Wellington's climate action goals.</w:t>
      </w:r>
    </w:p>
    <w:p>
      <w:pPr>
        <w:numPr>
          <w:ilvl w:val="0"/>
          <w:numId w:val="1001"/>
        </w:numPr>
        <w:pStyle w:val="Compact"/>
      </w:pPr>
      <w:r>
        <w:rPr>
          <w:bCs/>
          <w:b/>
        </w:rPr>
        <w:t xml:space="preserve">Digital Integration:</w:t>
      </w:r>
      <w:r>
        <w:t xml:space="preserve"> </w:t>
      </w:r>
      <w:r>
        <w:t xml:space="preserve">The Banker app update enabling seamless property valuation integration for Wellington-based clients drove a 40% increase in mortgage applications from local real estate agencies.</w:t>
      </w:r>
    </w:p>
    <w:bookmarkEnd w:id="22"/>
    <w:bookmarkStart w:id="23" w:name="X162103d24a5d3fdc2e6adf2feafb213c9a70dc7"/>
    <w:p>
      <w:pPr>
        <w:pStyle w:val="Heading2"/>
      </w:pPr>
      <w:r>
        <w:t xml:space="preserve">Client Testimonials: The Wellington Advantage</w:t>
      </w:r>
    </w:p>
    <w:p>
      <w:pPr>
        <w:pStyle w:val="FirstParagraph"/>
      </w:pPr>
      <w:r>
        <w:t xml:space="preserve">Feedback from New Zealand Wellington clients confirms our market leadership:</w:t>
      </w:r>
    </w:p>
    <w:p>
      <w:pPr>
        <w:pStyle w:val="BlockText"/>
      </w:pPr>
      <w:r>
        <w:t xml:space="preserve">"</w:t>
      </w:r>
      <w:r>
        <w:rPr>
          <w:iCs/>
          <w:i/>
        </w:rPr>
        <w:t xml:space="preserve">Our Banker in Wellington understood the complexities of our tourism recovery plan better than any other institution. They structured financing that aligned with our seasonal cash flow – this is why we've become a long-term partner.</w:t>
      </w:r>
      <w:r>
        <w:t xml:space="preserve">"</w:t>
      </w:r>
      <w:r>
        <w:br/>
      </w:r>
      <w:r>
        <w:rPr>
          <w:bCs/>
          <w:b/>
        </w:rPr>
        <w:t xml:space="preserve">- Sarah Chen, CEO, Coastal Experience Tours (Wellington)</w:t>
      </w:r>
    </w:p>
    <w:p>
      <w:pPr>
        <w:pStyle w:val="BlockText"/>
      </w:pPr>
      <w:r>
        <w:t xml:space="preserve">"</w:t>
      </w:r>
      <w:r>
        <w:rPr>
          <w:iCs/>
          <w:i/>
        </w:rPr>
        <w:t xml:space="preserve">As a startup in the Wellington tech cluster, we needed flexible funding that matched our growth trajectory. The local Banker provided tailored solutions within days – not weeks like competitors. This made all the difference.</w:t>
      </w:r>
      <w:r>
        <w:t xml:space="preserve">"</w:t>
      </w:r>
      <w:r>
        <w:br/>
      </w:r>
      <w:r>
        <w:rPr>
          <w:bCs/>
          <w:b/>
        </w:rPr>
        <w:t xml:space="preserve">- James Wilson, Founder, Nexus Data Solutions (Wellington)</w:t>
      </w:r>
    </w:p>
    <w:bookmarkEnd w:id="23"/>
    <w:bookmarkStart w:id="24" w:name="challenges-and-strategic-opportunities"/>
    <w:p>
      <w:pPr>
        <w:pStyle w:val="Heading2"/>
      </w:pPr>
      <w:r>
        <w:t xml:space="preserve">Challenges and Strategic Opportunities</w:t>
      </w:r>
    </w:p>
    <w:p>
      <w:pPr>
        <w:pStyle w:val="FirstParagraph"/>
      </w:pPr>
      <w:r>
        <w:t xml:space="preserve">While performance is strong, this Sales Report identifies two key challenges requiring our Banker team's attention in Q4:</w:t>
      </w:r>
    </w:p>
    <w:p>
      <w:pPr>
        <w:numPr>
          <w:ilvl w:val="0"/>
          <w:numId w:val="1002"/>
        </w:numPr>
        <w:pStyle w:val="Compact"/>
      </w:pPr>
      <w:r>
        <w:rPr>
          <w:bCs/>
          <w:b/>
        </w:rPr>
        <w:t xml:space="preserve">Competition in Commercial Lending:</w:t>
      </w:r>
      <w:r>
        <w:t xml:space="preserve"> </w:t>
      </w:r>
      <w:r>
        <w:t xml:space="preserve">Regional banks are increasing pricing pressure. Our response: Launching the "Wellington Business Accelerator" – a $10M dedicated fund for high-growth startups with embedded mentorship.</w:t>
      </w:r>
    </w:p>
    <w:p>
      <w:pPr>
        <w:numPr>
          <w:ilvl w:val="0"/>
          <w:numId w:val="1002"/>
        </w:numPr>
        <w:pStyle w:val="Compact"/>
      </w:pPr>
      <w:r>
        <w:rPr>
          <w:bCs/>
          <w:b/>
        </w:rPr>
        <w:t xml:space="preserve">Residential Market Volatility:</w:t>
      </w:r>
      <w:r>
        <w:t xml:space="preserve"> </w:t>
      </w:r>
      <w:r>
        <w:t xml:space="preserve">Rising interest rates are affecting buyer confidence. Solution: Expanding our fixed-rate mortgage options up to 5 years for Wellington homebuyers, reducing their financial anxiety during market transitions.</w:t>
      </w:r>
    </w:p>
    <w:bookmarkEnd w:id="24"/>
    <w:bookmarkStart w:id="25" w:name="conclusion-and-forward-momentum"/>
    <w:p>
      <w:pPr>
        <w:pStyle w:val="Heading2"/>
      </w:pPr>
      <w:r>
        <w:t xml:space="preserve">Conclusion and Forward Momentum</w:t>
      </w:r>
    </w:p>
    <w:p>
      <w:pPr>
        <w:pStyle w:val="FirstParagraph"/>
      </w:pPr>
      <w:r>
        <w:t xml:space="preserve">This Sales Report affirms that our Banker team in New Zealand Wellington has achieved exceptional results through hyper-localized banking solutions. Our 20.3% portfolio growth outpaces the national average by 15 points, demonstrating how deep market understanding drives financial success. The strategic focus on Wellington's economic priorities – sustainability, technology growth, and tourism recovery – has created a sustainable competitive advantage.</w:t>
      </w:r>
    </w:p>
    <w:p>
      <w:pPr>
        <w:pStyle w:val="BodyText"/>
      </w:pPr>
      <w:r>
        <w:t xml:space="preserve">Looking ahead to Q4 2023, we will double down on our Wellington-focused strategy. This includes expanding the WGBI program to support 50 new green businesses and launching Wellington's first dedicated Innovation Hub for SMEs. As the only major Banker with a fully integrated local team operating within New Zealand's capital city, we are uniquely positioned to capture $20M+ in new business through these initiatives.</w:t>
      </w:r>
    </w:p>
    <w:p>
      <w:pPr>
        <w:pStyle w:val="BodyText"/>
      </w:pPr>
      <w:r>
        <w:t xml:space="preserve">The evidence is clear: When Banking professionals deeply understand a market like New Zealand Wellington, they don't just serve clients – they become essential economic partners. This Sales Report proves that our Banker approach in Wellington delivers tangible results that strengthen both client success and our institutional growth. We commend the entire Wellington banking team for raising the benchmark in regional financial services.</w:t>
      </w:r>
    </w:p>
    <w:p>
      <w:pPr>
        <w:pStyle w:val="BodyText"/>
      </w:pPr>
      <w:r>
        <w:rPr>
          <w:bCs/>
          <w:b/>
        </w:rPr>
        <w:t xml:space="preserve">Prepared by:</w:t>
      </w:r>
      <w:r>
        <w:t xml:space="preserve"> </w:t>
      </w:r>
      <w:r>
        <w:t xml:space="preserve">Wellington Regional Banking Strategy Team</w:t>
      </w:r>
    </w:p>
    <w:p>
      <w:pPr>
        <w:pStyle w:val="BodyText"/>
      </w:pPr>
      <w:r>
        <w:rPr>
          <w:bCs/>
          <w:b/>
        </w:rPr>
        <w:t xml:space="preserve">For:</w:t>
      </w:r>
      <w:r>
        <w:t xml:space="preserve"> </w:t>
      </w:r>
      <w:r>
        <w:t xml:space="preserve">National Sales Leadership, New Zealand Banking Division</w:t>
      </w:r>
    </w:p>
    <w:p>
      <w:pPr>
        <w:pStyle w:val="BodyText"/>
      </w:pPr>
      <w:r>
        <w:t xml:space="preserve">"Building Financial Futures in the Heart of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 New Zealand Wellington</dc:title>
  <dc:creator/>
  <dc:language>en</dc:language>
  <cp:keywords/>
  <dcterms:created xsi:type="dcterms:W3CDTF">2025-12-15T22:20:28Z</dcterms:created>
  <dcterms:modified xsi:type="dcterms:W3CDTF">2025-12-15T22:20:28Z</dcterms:modified>
</cp:coreProperties>
</file>

<file path=docProps/custom.xml><?xml version="1.0" encoding="utf-8"?>
<Properties xmlns="http://schemas.openxmlformats.org/officeDocument/2006/custom-properties" xmlns:vt="http://schemas.openxmlformats.org/officeDocument/2006/docPropsVTypes"/>
</file>