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Abuja</w:t>
      </w:r>
      <w:r>
        <w:t xml:space="preserve"> </w:t>
      </w:r>
      <w:r>
        <w:t xml:space="preserve">Banking</w:t>
      </w:r>
      <w:r>
        <w:t xml:space="preserve"> </w:t>
      </w:r>
      <w:r>
        <w:t xml:space="preserve">Performance</w:t>
      </w:r>
    </w:p>
    <w:bookmarkStart w:id="28" w:name="X5fe82d0d507f76d20e85095a4071be560e34beb"/>
    <w:p>
      <w:pPr>
        <w:pStyle w:val="Heading1"/>
      </w:pPr>
      <w:r>
        <w:t xml:space="preserve">Comprehensive Sales Report: Strategic Performance Analysis for Banking Operations in Nigeria Abuja</w:t>
      </w:r>
    </w:p>
    <w:bookmarkStart w:id="20" w:name="introduction"/>
    <w:p>
      <w:pPr>
        <w:pStyle w:val="Heading2"/>
      </w:pPr>
      <w:r>
        <w:t xml:space="preserve">Introduction</w:t>
      </w:r>
    </w:p>
    <w:p>
      <w:pPr>
        <w:pStyle w:val="FirstParagraph"/>
      </w:pPr>
      <w:r>
        <w:t xml:space="preserve">This Sales Report provides an in-depth analysis of banking performance metrics across the Nigeria Abuja region for Q3 2023. As a premier financial institution operating within the Nigerian banking sector, our Abuja branch serves as a critical growth engine for national expansion. This document outlines key achievements, challenges, and strategic imperatives for our Banking team to maintain leadership in Africa's most dynamic capital city market. The report underscores how proactive sales strategies implemented by our dedicated Banker personnel have driven measurable growth amid Nigeria's complex economic landscape.</w:t>
      </w:r>
    </w:p>
    <w:bookmarkEnd w:id="20"/>
    <w:bookmarkStart w:id="21" w:name="executive-summary"/>
    <w:p>
      <w:pPr>
        <w:pStyle w:val="Heading2"/>
      </w:pPr>
      <w:r>
        <w:t xml:space="preserve">Executive Summary</w:t>
      </w:r>
    </w:p>
    <w:p>
      <w:pPr>
        <w:pStyle w:val="FirstParagraph"/>
      </w:pPr>
      <w:r>
        <w:t xml:space="preserve">In Q3 2023, the Abuja banking division achieved remarkable sales milestones, exceeding quarterly targets by 18.7% with N5.7 billion in new customer acquisitions. This performance establishes Abuja as Nigeria's top-performing regional hub for commercial banking sales activity. Our Banker team successfully onboarded 421 new corporate clients and secured N3.2 billion in fresh loan disbursements – a 31% increase from Q2. The report confirms that strategic focus on Abuja's unique economic drivers, including federal government contracts, oil &amp; gas sector investments, and burgeoning SME clusters around Garki and Wuse 2, directly fueled these results.</w:t>
      </w:r>
    </w:p>
    <w:bookmarkEnd w:id="21"/>
    <w:bookmarkStart w:id="22" w:name="X91b0fcb3ec74ed36ffc97f741e919e0063c1b41"/>
    <w:p>
      <w:pPr>
        <w:pStyle w:val="Heading2"/>
      </w:pPr>
      <w:r>
        <w:t xml:space="preserve">Key Performance Metrics: Abuja Banking Excellence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New Corporate Clients Acquired (Abuja)</w:t>
            </w:r>
          </w:p>
        </w:tc>
        <w:tc>
          <w:tcPr/>
          <w:p>
            <w:pPr>
              <w:pStyle w:val="Compact"/>
              <w:jc w:val="left"/>
            </w:pPr>
            <w:r>
              <w:t xml:space="preserve">421</w:t>
            </w:r>
          </w:p>
        </w:tc>
        <w:tc>
          <w:tcPr/>
          <w:p>
            <w:pPr>
              <w:pStyle w:val="Compact"/>
              <w:jc w:val="left"/>
            </w:pPr>
            <w:r>
              <w:t xml:space="preserve">315</w:t>
            </w:r>
          </w:p>
        </w:tc>
        <w:tc>
          <w:tcPr/>
          <w:p>
            <w:pPr>
              <w:pStyle w:val="Compact"/>
              <w:jc w:val="left"/>
            </w:pPr>
            <w:r>
              <w:t xml:space="preserve">+33.6%</w:t>
            </w:r>
          </w:p>
        </w:tc>
      </w:tr>
      <w:tr>
        <w:tc>
          <w:tcPr/>
          <w:p>
            <w:pPr>
              <w:pStyle w:val="Compact"/>
              <w:jc w:val="left"/>
            </w:pPr>
            <w:r>
              <w:t xml:space="preserve">New Loan Disbursements (Abuja)</w:t>
            </w:r>
          </w:p>
        </w:tc>
        <w:tc>
          <w:tcPr/>
          <w:p>
            <w:pPr>
              <w:pStyle w:val="Compact"/>
              <w:jc w:val="left"/>
            </w:pPr>
            <w:r>
              <w:t xml:space="preserve">N3.2B</w:t>
            </w:r>
          </w:p>
        </w:tc>
        <w:tc>
          <w:tcPr/>
          <w:p>
            <w:pPr>
              <w:pStyle w:val="Compact"/>
              <w:jc w:val="left"/>
            </w:pPr>
            <w:r>
              <w:t xml:space="preserve">N2.4B</w:t>
            </w:r>
          </w:p>
        </w:tc>
        <w:tc>
          <w:tcPr/>
          <w:p>
            <w:pPr>
              <w:pStyle w:val="Compact"/>
              <w:jc w:val="left"/>
            </w:pPr>
            <w:r>
              <w:t xml:space="preserve">+31.0%</w:t>
            </w:r>
          </w:p>
        </w:tc>
      </w:tr>
      <w:tr>
        <w:tc>
          <w:tcPr/>
          <w:p>
            <w:pPr>
              <w:pStyle w:val="Compact"/>
              <w:jc w:val="left"/>
            </w:pPr>
            <w:r>
              <w:t xml:space="preserve">Customer Retention Rate (Premium)</w:t>
            </w:r>
          </w:p>
        </w:tc>
        <w:tc>
          <w:tcPr/>
          <w:p>
            <w:pPr>
              <w:pStyle w:val="Compact"/>
              <w:jc w:val="left"/>
            </w:pPr>
            <w:r>
              <w:t xml:space="preserve">94.3%</w:t>
            </w:r>
          </w:p>
        </w:tc>
        <w:tc>
          <w:tcPr/>
          <w:p>
            <w:pPr>
              <w:pStyle w:val="Compact"/>
              <w:jc w:val="left"/>
            </w:pPr>
            <w:r>
              <w:t xml:space="preserve">89.7%</w:t>
            </w:r>
          </w:p>
        </w:tc>
        <w:tc>
          <w:tcPr/>
          <w:p>
            <w:pPr>
              <w:pStyle w:val="Compact"/>
              <w:jc w:val="left"/>
            </w:pPr>
            <w:r>
              <w:t xml:space="preserve">+4.6pts</w:t>
            </w:r>
          </w:p>
        </w:tc>
      </w:tr>
      <w:tr>
        <w:tc>
          <w:tcPr/>
          <w:p>
            <w:pPr>
              <w:pStyle w:val="Compact"/>
              <w:jc w:val="left"/>
            </w:pPr>
            <w:r>
              <w:t xml:space="preserve">SME Portfolio Growth (Abuja)</w:t>
            </w:r>
          </w:p>
        </w:tc>
        <w:tc>
          <w:tcPr/>
          <w:p>
            <w:pPr>
              <w:pStyle w:val="Compact"/>
              <w:jc w:val="left"/>
            </w:pPr>
            <w:r>
              <w:t xml:space="preserve">N1.8B</w:t>
            </w:r>
          </w:p>
        </w:tc>
        <w:tc>
          <w:tcPr/>
          <w:p>
            <w:pPr>
              <w:pStyle w:val="Compact"/>
              <w:jc w:val="left"/>
            </w:pPr>
            <w:r>
              <w:t xml:space="preserve">N1.2B</w:t>
            </w:r>
          </w:p>
        </w:tc>
        <w:tc>
          <w:tcPr/>
          <w:p>
            <w:pPr>
              <w:pStyle w:val="Compact"/>
              <w:jc w:val="left"/>
            </w:pPr>
            <w:r>
              <w:t xml:space="preserve">+50.0%</w:t>
            </w:r>
          </w:p>
        </w:tc>
      </w:tr>
    </w:tbl>
    <w:bookmarkEnd w:id="22"/>
    <w:bookmarkStart w:id="23" w:name="X0610a5985f04ea91b9fda68126ba1be383813c2"/>
    <w:p>
      <w:pPr>
        <w:pStyle w:val="Heading2"/>
      </w:pPr>
      <w:r>
        <w:t xml:space="preserve">Strategic Analysis: Abuja's Banking Opportunity Landscape</w:t>
      </w:r>
    </w:p>
    <w:p>
      <w:pPr>
        <w:pStyle w:val="FirstParagraph"/>
      </w:pPr>
      <w:r>
        <w:t xml:space="preserve">The exceptional performance in Nigeria Abuja stems from our Banker team's nuanced understanding of the capital city's distinct economic ecosystem. While many banks treat Abuja as a generic market, our sales strategy leveraged three critical local factors:</w:t>
      </w:r>
    </w:p>
    <w:p>
      <w:pPr>
        <w:numPr>
          <w:ilvl w:val="0"/>
          <w:numId w:val="1001"/>
        </w:numPr>
        <w:pStyle w:val="Compact"/>
      </w:pPr>
      <w:r>
        <w:rPr>
          <w:bCs/>
          <w:b/>
        </w:rPr>
        <w:t xml:space="preserve">Government Procurement Dynamics:</w:t>
      </w:r>
      <w:r>
        <w:t xml:space="preserve"> </w:t>
      </w:r>
      <w:r>
        <w:t xml:space="preserve">Our Banker staff developed specialized solutions for Federal Ministry contracts, securing N1.4B in transaction banking agreements with 27 government agencies – directly addressing Abuja's status as Nigeria's political epicenter.</w:t>
      </w:r>
    </w:p>
    <w:p>
      <w:pPr>
        <w:numPr>
          <w:ilvl w:val="0"/>
          <w:numId w:val="1001"/>
        </w:numPr>
        <w:pStyle w:val="Compact"/>
      </w:pPr>
      <w:r>
        <w:rPr>
          <w:bCs/>
          <w:b/>
        </w:rPr>
        <w:t xml:space="preserve">Oil &amp; Gas Sector Integration:</w:t>
      </w:r>
      <w:r>
        <w:t xml:space="preserve"> </w:t>
      </w:r>
      <w:r>
        <w:t xml:space="preserve">By embedding our sales personnel within Abuja-based energy consortium offices, we captured 68% of new exploration financing requests during Q3, a market segment where competitors maintained minimal presence.</w:t>
      </w:r>
    </w:p>
    <w:p>
      <w:pPr>
        <w:numPr>
          <w:ilvl w:val="0"/>
          <w:numId w:val="1001"/>
        </w:numPr>
        <w:pStyle w:val="Compact"/>
      </w:pPr>
      <w:r>
        <w:rPr>
          <w:bCs/>
          <w:b/>
        </w:rPr>
        <w:t xml:space="preserve">SME Ecosystem Development:</w:t>
      </w:r>
      <w:r>
        <w:t xml:space="preserve"> </w:t>
      </w:r>
      <w:r>
        <w:t xml:space="preserve">Targeted initiatives like the "Abuja Growth Accelerator" program provided tailored financing for tech startups in Cyber City and business parks, resulting in 127 new SME accounts – 4x our quarterly average.</w:t>
      </w:r>
    </w:p>
    <w:bookmarkEnd w:id="23"/>
    <w:bookmarkStart w:id="24" w:name="challenges-adaptive-solutions"/>
    <w:p>
      <w:pPr>
        <w:pStyle w:val="Heading2"/>
      </w:pPr>
      <w:r>
        <w:t xml:space="preserve">Challenges &amp; Adaptive Solutions</w:t>
      </w:r>
    </w:p>
    <w:p>
      <w:pPr>
        <w:pStyle w:val="FirstParagraph"/>
      </w:pPr>
      <w:r>
        <w:t xml:space="preserve">Despite strong results, the Abuja banking market presented unique obstacles. Currency volatility impacted client sentiment during July, while regulatory changes required rapid product adaptation. Our Banker team responded with:</w:t>
      </w:r>
    </w:p>
    <w:p>
      <w:pPr>
        <w:numPr>
          <w:ilvl w:val="0"/>
          <w:numId w:val="1002"/>
        </w:numPr>
        <w:pStyle w:val="Compact"/>
      </w:pPr>
      <w:r>
        <w:t xml:space="preserve">A dedicated FX Risk Mitigation Task Force that reduced loan rejection rates by 27% through dynamic pricing models</w:t>
      </w:r>
    </w:p>
    <w:p>
      <w:pPr>
        <w:numPr>
          <w:ilvl w:val="0"/>
          <w:numId w:val="1002"/>
        </w:numPr>
        <w:pStyle w:val="Compact"/>
      </w:pPr>
      <w:r>
        <w:t xml:space="preserve">Real-time compliance training for all sales staff to navigate CBN's new KYC directives, ensuring zero regulatory penalties</w:t>
      </w:r>
    </w:p>
    <w:p>
      <w:pPr>
        <w:numPr>
          <w:ilvl w:val="0"/>
          <w:numId w:val="1002"/>
        </w:numPr>
        <w:pStyle w:val="Compact"/>
      </w:pPr>
      <w:r>
        <w:t xml:space="preserve">Hyper-localized marketing campaigns using Abuja-specific cultural events (e.g., Abuja International Film Festival partnerships) to build trust</w:t>
      </w:r>
    </w:p>
    <w:bookmarkEnd w:id="24"/>
    <w:bookmarkStart w:id="25" w:name="Xe194525bae5eddd12eb4466e80e694c17314f02"/>
    <w:p>
      <w:pPr>
        <w:pStyle w:val="Heading2"/>
      </w:pPr>
      <w:r>
        <w:t xml:space="preserve">Regional Market Positioning: Why Nigeria Abuja Matters</w:t>
      </w:r>
    </w:p>
    <w:p>
      <w:pPr>
        <w:pStyle w:val="FirstParagraph"/>
      </w:pPr>
      <w:r>
        <w:t xml:space="preserve">Nigeria's economic center of gravity has shifted decisively toward Abuja. As the nation's political capital, it commands 37% of federal expenditure – translating directly to banking demand. Our Sales Report confirms that every N100 generated in government contracts flows through Abuja financial institutions, creating a self-reinforcing growth cycle. This regional dominance positions our Banker team as strategic assets in Nigeria's economic development narrative.</w:t>
      </w:r>
    </w:p>
    <w:p>
      <w:pPr>
        <w:pStyle w:val="BodyText"/>
      </w:pPr>
      <w:r>
        <w:t xml:space="preserve">Crucially, the Abuja market differs significantly from Lagos. While Lagos focuses on port trade and manufacturing finance, Abuja requires expertise in governance-linked transactions – a specialization we've cultivated through targeted training. Our success demonstrates that understanding Nigeria's regional nuances is non-negotiable for banking excellence.</w:t>
      </w:r>
    </w:p>
    <w:bookmarkEnd w:id="25"/>
    <w:bookmarkStart w:id="26" w:name="strategic-imperatives-for-future-growth"/>
    <w:p>
      <w:pPr>
        <w:pStyle w:val="Heading2"/>
      </w:pPr>
      <w:r>
        <w:t xml:space="preserve">Strategic Imperatives for Future Growth</w:t>
      </w:r>
    </w:p>
    <w:p>
      <w:pPr>
        <w:pStyle w:val="FirstParagraph"/>
      </w:pPr>
      <w:r>
        <w:t xml:space="preserve">To sustain our leadership position, the following initiatives will be prioritized in Q4 2023:</w:t>
      </w:r>
    </w:p>
    <w:p>
      <w:pPr>
        <w:numPr>
          <w:ilvl w:val="0"/>
          <w:numId w:val="1003"/>
        </w:numPr>
        <w:pStyle w:val="Compact"/>
      </w:pPr>
      <w:r>
        <w:rPr>
          <w:bCs/>
          <w:b/>
        </w:rPr>
        <w:t xml:space="preserve">Abuja Digital Banking Expansion:</w:t>
      </w:r>
      <w:r>
        <w:t xml:space="preserve"> </w:t>
      </w:r>
      <w:r>
        <w:t xml:space="preserve">Launching mobile-first solutions tailored for government contractors and federal employees (e.g., integrated payroll systems with CBN digital infrastructure)</w:t>
      </w:r>
    </w:p>
    <w:p>
      <w:pPr>
        <w:numPr>
          <w:ilvl w:val="0"/>
          <w:numId w:val="1003"/>
        </w:numPr>
        <w:pStyle w:val="Compact"/>
      </w:pPr>
      <w:r>
        <w:rPr>
          <w:bCs/>
          <w:b/>
        </w:rPr>
        <w:t xml:space="preserve">SME Financing Innovation:</w:t>
      </w:r>
      <w:r>
        <w:t xml:space="preserve"> </w:t>
      </w:r>
      <w:r>
        <w:t xml:space="preserve">Developing "Nigeria Abuja Export Ready" package targeting agro-processors in the Federal Capital Territory's agricultural corridors</w:t>
      </w:r>
    </w:p>
    <w:p>
      <w:pPr>
        <w:numPr>
          <w:ilvl w:val="0"/>
          <w:numId w:val="1003"/>
        </w:numPr>
        <w:pStyle w:val="Compact"/>
      </w:pPr>
      <w:r>
        <w:rPr>
          <w:bCs/>
          <w:b/>
        </w:rPr>
        <w:t xml:space="preserve">Banker Talent Development:</w:t>
      </w:r>
      <w:r>
        <w:t xml:space="preserve"> </w:t>
      </w:r>
      <w:r>
        <w:t xml:space="preserve">Implementing a specialized Abuja Market Certification for all sales personnel, covering federal procurement cycles and regional economic indicators</w:t>
      </w:r>
    </w:p>
    <w:bookmarkEnd w:id="26"/>
    <w:bookmarkStart w:id="27" w:name="conclusion-the-abuja-advantage"/>
    <w:p>
      <w:pPr>
        <w:pStyle w:val="Heading2"/>
      </w:pPr>
      <w:r>
        <w:t xml:space="preserve">Conclusion: The Abuja Advantage</w:t>
      </w:r>
    </w:p>
    <w:p>
      <w:pPr>
        <w:pStyle w:val="FirstParagraph"/>
      </w:pPr>
      <w:r>
        <w:t xml:space="preserve">This Sales Report unequivocally demonstrates that Nigeria Abuja remains the premier growth engine for banking in sub-Saharan Africa. Our Banker team's performance – consistently exceeding targets while navigating complex local dynamics – sets a benchmark for the industry. The strategic focus on Abuja's unique economic identity (government centrality, regulatory influence, and infrastructure development) has delivered not just sales numbers but sustainable market leadership.</w:t>
      </w:r>
    </w:p>
    <w:p>
      <w:pPr>
        <w:pStyle w:val="BodyText"/>
      </w:pPr>
      <w:r>
        <w:t xml:space="preserve">As Nigeria continues its economic transformation journey, the Abuja banking corridor will only grow more critical. Our continued investment in specialized Sales Report analytics and tailored Banker training ensures we remain at the forefront of Nigeria's financial evolution. The results speak for themselves: In a market where competitors see challenges, our Abuja team sees opportunities – and acts accordingly.</w:t>
      </w:r>
    </w:p>
    <w:p>
      <w:pPr>
        <w:pStyle w:val="BodyText"/>
      </w:pPr>
      <w:r>
        <w:rPr>
          <w:bCs/>
          <w:b/>
        </w:rPr>
        <w:t xml:space="preserve">Prepared By:</w:t>
      </w:r>
      <w:r>
        <w:t xml:space="preserve"> </w:t>
      </w:r>
      <w:r>
        <w:t xml:space="preserve">National Sales Analytics Division</w:t>
      </w:r>
      <w:r>
        <w:br/>
      </w:r>
      <w:r>
        <w:rPr>
          <w:bCs/>
          <w:b/>
        </w:rPr>
        <w:t xml:space="preserve">Date:</w:t>
      </w:r>
      <w:r>
        <w:t xml:space="preserve"> </w:t>
      </w:r>
      <w:r>
        <w:t xml:space="preserve">October 15, 2023</w:t>
      </w:r>
      <w:r>
        <w:br/>
      </w:r>
      <w:r>
        <w:rPr>
          <w:bCs/>
          <w:b/>
        </w:rPr>
        <w:t xml:space="preserve">Confidentiality:</w:t>
      </w:r>
      <w:r>
        <w:t xml:space="preserve"> </w:t>
      </w:r>
      <w:r>
        <w:t xml:space="preserve">This document is for internal use only by approved banking personnel across Nigeria Abuja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Abuja Banking Performance</dc:title>
  <dc:creator/>
  <dc:language>en</dc:language>
  <cp:keywords/>
  <dcterms:created xsi:type="dcterms:W3CDTF">2026-07-24T07:15:43Z</dcterms:created>
  <dcterms:modified xsi:type="dcterms:W3CDTF">2026-07-24T07:15:43Z</dcterms:modified>
</cp:coreProperties>
</file>

<file path=docProps/custom.xml><?xml version="1.0" encoding="utf-8"?>
<Properties xmlns="http://schemas.openxmlformats.org/officeDocument/2006/custom-properties" xmlns:vt="http://schemas.openxmlformats.org/officeDocument/2006/docPropsVTypes"/>
</file>