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Lima</w:t>
      </w:r>
      <w:r>
        <w:t xml:space="preserve"> </w:t>
      </w:r>
      <w:r>
        <w:t xml:space="preserve">Operations</w:t>
      </w:r>
    </w:p>
    <w:bookmarkStart w:id="20" w:name="q3-2023-sales-performance-report"/>
    <w:p>
      <w:pPr>
        <w:pStyle w:val="Heading1"/>
      </w:pPr>
      <w:r>
        <w:t xml:space="preserve">Q3 2023 Sales Performance Report</w:t>
      </w:r>
    </w:p>
    <w:p>
      <w:pPr>
        <w:pStyle w:val="FirstParagraph"/>
      </w:pPr>
      <w:r>
        <w:rPr>
          <w:bCs/>
          <w:b/>
        </w:rPr>
        <w:t xml:space="preserve">Prepared for Lima Operations Leadership Team</w:t>
      </w:r>
    </w:p>
    <w:p>
      <w:pPr>
        <w:pStyle w:val="BodyText"/>
      </w:pPr>
      <w:r>
        <w:t xml:space="preserve">Global Banking Solutions | Peru Lima Branch | October 26,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Banking operations in Peru Lima during the third quarter of 2023. As a premier financial institution serving the dynamic Peruvian market, our Lima branch has demonstrated exceptional growth under strategic leadership. The Banker team achieved a 14.7% year-over-year increase in sales revenue, exceeding regional targets by 8.3%. This success stems from deepening client relationships, tailored product offerings for local business needs, and agile responses to Peru's evolving economic landscape. Our commitment to delivering personalized financial solutions positions us as the preferred banking partner in Lima's competitive marketplace.</w:t>
      </w:r>
    </w:p>
    <w:bookmarkEnd w:id="21"/>
    <w:bookmarkStart w:id="23" w:name="key-sales-performance-metrics"/>
    <w:p>
      <w:pPr>
        <w:pStyle w:val="Heading2"/>
      </w:pPr>
      <w:r>
        <w:t xml:space="preserve">Key Sales Performance Metrics</w:t>
      </w:r>
    </w:p>
    <w:p>
      <w:pPr>
        <w:pStyle w:val="FirstParagraph"/>
      </w:pPr>
      <w:r>
        <w:t xml:space="preserve">The following metrics illustrate our Q3 achievements across core service lines:</w:t>
      </w:r>
    </w:p>
    <w:bookmarkStart w:id="22" w:name="X319dd1e800c1e50fa79cfd4eeecd5051bf8b1bf"/>
    <w:p>
      <w:pPr>
        <w:pStyle w:val="Heading3"/>
      </w:pPr>
      <w:r>
        <w:t xml:space="preserve">Revenue Growth Highlights (Lima Operations)</w:t>
      </w:r>
    </w:p>
    <w:p>
      <w:pPr>
        <w:numPr>
          <w:ilvl w:val="0"/>
          <w:numId w:val="1001"/>
        </w:numPr>
        <w:pStyle w:val="Compact"/>
      </w:pPr>
      <w:r>
        <w:rPr>
          <w:bCs/>
          <w:b/>
        </w:rPr>
        <w:t xml:space="preserve">Commercial Banking:</w:t>
      </w:r>
      <w:r>
        <w:t xml:space="preserve"> </w:t>
      </w:r>
      <w:r>
        <w:t xml:space="preserve">$18.7M in new credit facilities (+22% YoY), driven by manufacturing and agribusiness sectors</w:t>
      </w:r>
    </w:p>
    <w:p>
      <w:pPr>
        <w:numPr>
          <w:ilvl w:val="0"/>
          <w:numId w:val="1001"/>
        </w:numPr>
        <w:pStyle w:val="Compact"/>
      </w:pPr>
      <w:r>
        <w:rPr>
          <w:bCs/>
          <w:b/>
        </w:rPr>
        <w:t xml:space="preserve">Retail Banking:</w:t>
      </w:r>
      <w:r>
        <w:t xml:space="preserve"> </w:t>
      </w:r>
      <w:r>
        <w:t xml:space="preserve">19,400 new client accounts opened (35% above target)</w:t>
      </w:r>
    </w:p>
    <w:p>
      <w:pPr>
        <w:numPr>
          <w:ilvl w:val="0"/>
          <w:numId w:val="1001"/>
        </w:numPr>
        <w:pStyle w:val="Compact"/>
      </w:pPr>
      <w:r>
        <w:rPr>
          <w:bCs/>
          <w:b/>
        </w:rPr>
        <w:t xml:space="preserve">Wealth Management:</w:t>
      </w:r>
      <w:r>
        <w:t xml:space="preserve"> </w:t>
      </w:r>
      <w:r>
        <w:t xml:space="preserve">Assets under management grew to $325M (+18.2% YoY)</w:t>
      </w:r>
    </w:p>
    <w:p>
      <w:pPr>
        <w:numPr>
          <w:ilvl w:val="0"/>
          <w:numId w:val="1001"/>
        </w:numPr>
        <w:pStyle w:val="Compact"/>
      </w:pPr>
      <w:r>
        <w:rPr>
          <w:bCs/>
          <w:b/>
        </w:rPr>
        <w:t xml:space="preserve">Digital Banking Adoption:</w:t>
      </w:r>
      <w:r>
        <w:t xml:space="preserve"> </w:t>
      </w:r>
      <w:r>
        <w:t xml:space="preserve">74% of new clients enrolled in mobile banking (vs. 61% industry average)</w:t>
      </w:r>
    </w:p>
    <w:bookmarkEnd w:id="22"/>
    <w:bookmarkEnd w:id="23"/>
    <w:bookmarkStart w:id="24" w:name="X02121ab4996aae4b40f372bf77174f20cb9055e"/>
    <w:p>
      <w:pPr>
        <w:pStyle w:val="Heading2"/>
      </w:pPr>
      <w:r>
        <w:t xml:space="preserve">Market Analysis: Why Peru Lima Outperformed</w:t>
      </w:r>
    </w:p>
    <w:p>
      <w:pPr>
        <w:pStyle w:val="FirstParagraph"/>
      </w:pPr>
      <w:r>
        <w:t xml:space="preserve">The success in Peru Lima stems from our Banker's strategic alignment with local economic opportunities. As the nation's financial hub, Lima presents unique advantages including:</w:t>
      </w:r>
    </w:p>
    <w:p>
      <w:pPr>
        <w:numPr>
          <w:ilvl w:val="0"/>
          <w:numId w:val="1002"/>
        </w:numPr>
        <w:pStyle w:val="Compact"/>
      </w:pPr>
      <w:r>
        <w:rPr>
          <w:bCs/>
          <w:b/>
        </w:rPr>
        <w:t xml:space="preserve">Infrastructure Development Boom:</w:t>
      </w:r>
      <w:r>
        <w:t xml:space="preserve"> </w:t>
      </w:r>
      <w:r>
        <w:t xml:space="preserve">Major investments in port expansions (e.g., Chancay Port) created high-demand commercial credit opportunities</w:t>
      </w:r>
    </w:p>
    <w:p>
      <w:pPr>
        <w:numPr>
          <w:ilvl w:val="0"/>
          <w:numId w:val="1002"/>
        </w:numPr>
        <w:pStyle w:val="Compact"/>
      </w:pPr>
      <w:r>
        <w:rPr>
          <w:bCs/>
          <w:b/>
        </w:rPr>
        <w:t xml:space="preserve">Digital Transformation Momentum:</w:t>
      </w:r>
      <w:r>
        <w:t xml:space="preserve"> </w:t>
      </w:r>
      <w:r>
        <w:t xml:space="preserve">Peru's fintech adoption rate reached 67% in Q3, allowing our digital sales channels to capture market share</w:t>
      </w:r>
    </w:p>
    <w:p>
      <w:pPr>
        <w:numPr>
          <w:ilvl w:val="0"/>
          <w:numId w:val="1002"/>
        </w:numPr>
        <w:pStyle w:val="Compact"/>
      </w:pPr>
      <w:r>
        <w:rPr>
          <w:bCs/>
          <w:b/>
        </w:rPr>
        <w:t xml:space="preserve">Export Sector Growth:</w:t>
      </w:r>
      <w:r>
        <w:t xml:space="preserve"> </w:t>
      </w:r>
      <w:r>
        <w:t xml:space="preserve">Increased agricultural exports (coffee, fishmeal) fueled demand for trade finance solutions</w:t>
      </w:r>
    </w:p>
    <w:bookmarkEnd w:id="24"/>
    <w:bookmarkStart w:id="28" w:name="in-depth-product-performance-analysis"/>
    <w:p>
      <w:pPr>
        <w:pStyle w:val="Heading2"/>
      </w:pPr>
      <w:r>
        <w:t xml:space="preserve">In-Depth Product Performance Analysis</w:t>
      </w:r>
    </w:p>
    <w:p>
      <w:pPr>
        <w:pStyle w:val="FirstParagraph"/>
      </w:pPr>
      <w:r>
        <w:t xml:space="preserve">Our Banker team executed precise product targeting that resonated with Lima's economic ecosystem:</w:t>
      </w:r>
    </w:p>
    <w:bookmarkStart w:id="25" w:name="trade-finance-solutions"/>
    <w:p>
      <w:pPr>
        <w:pStyle w:val="Heading3"/>
      </w:pPr>
      <w:r>
        <w:t xml:space="preserve">1. Trade Finance Solutions</w:t>
      </w:r>
    </w:p>
    <w:p>
      <w:pPr>
        <w:pStyle w:val="FirstParagraph"/>
      </w:pPr>
      <w:r>
        <w:t xml:space="preserve">Designed specifically for Peruvian exporters, this product line generated $9.2M in new business—a 41% increase from Q2. The Lima branch secured 17 major deals with agricultural cooperatives through on-site consultations, demonstrating how a localized approach drives results. As one of our senior Banker noted: "Understanding the coffee harvest cycle and logistics challenges in Cajamarca allows us to structure financing that truly supports clients' operational needs."</w:t>
      </w:r>
    </w:p>
    <w:bookmarkEnd w:id="25"/>
    <w:bookmarkStart w:id="26" w:name="sme-banking-suite"/>
    <w:p>
      <w:pPr>
        <w:pStyle w:val="Heading3"/>
      </w:pPr>
      <w:r>
        <w:t xml:space="preserve">2. SME Banking Suite</w:t>
      </w:r>
    </w:p>
    <w:p>
      <w:pPr>
        <w:pStyle w:val="FirstParagraph"/>
      </w:pPr>
      <w:r>
        <w:t xml:space="preserve">Lima's 58,000 active SMEs became our fastest-growing segment. We deployed a dedicated Banker team for small business development, offering simplified credit applications through our mobile app—a critical factor in reaching 47% of new retail clients outside downtown Lima. This strategy directly contributed to the branch exceeding its SME acquisition target by 23%.</w:t>
      </w:r>
    </w:p>
    <w:bookmarkEnd w:id="26"/>
    <w:bookmarkStart w:id="27" w:name="digital-banking-adoption"/>
    <w:p>
      <w:pPr>
        <w:pStyle w:val="Heading3"/>
      </w:pPr>
      <w:r>
        <w:t xml:space="preserve">3. Digital Banking Adoption</w:t>
      </w:r>
    </w:p>
    <w:p>
      <w:pPr>
        <w:pStyle w:val="FirstParagraph"/>
      </w:pPr>
      <w:r>
        <w:t xml:space="preserve">Our Sales Report indicates a pivotal shift in client engagement patterns. The introduction of Spanish-language virtual banking assistants (launched Q1 2023) accelerated digital onboarding, reducing sales cycle times by 40%. This was particularly impactful in Lima's growing middle-class population seeking convenient banking solutions.</w:t>
      </w:r>
    </w:p>
    <w:bookmarkEnd w:id="27"/>
    <w:bookmarkEnd w:id="28"/>
    <w:bookmarkStart w:id="29" w:name="challenges-strategic-adjustments"/>
    <w:p>
      <w:pPr>
        <w:pStyle w:val="Heading2"/>
      </w:pPr>
      <w:r>
        <w:t xml:space="preserve">Challenges &amp; Strategic Adjustments</w:t>
      </w:r>
    </w:p>
    <w:p>
      <w:pPr>
        <w:pStyle w:val="FirstParagraph"/>
      </w:pPr>
      <w:r>
        <w:t xml:space="preserve">While performance exceeded expectations, the Lima branch faced two key challenges that shaped our strategy:</w:t>
      </w:r>
    </w:p>
    <w:p>
      <w:pPr>
        <w:numPr>
          <w:ilvl w:val="0"/>
          <w:numId w:val="1003"/>
        </w:numPr>
        <w:pStyle w:val="Compact"/>
      </w:pPr>
      <w:r>
        <w:rPr>
          <w:bCs/>
          <w:b/>
        </w:rPr>
        <w:t xml:space="preserve">Inflation Pressure (9.3% YoY):</w:t>
      </w:r>
      <w:r>
        <w:t xml:space="preserve"> </w:t>
      </w:r>
      <w:r>
        <w:t xml:space="preserve">Our Banker team proactively shifted sales focus to inflation-hedged products like currency-locked loans, reducing client churn by 18%</w:t>
      </w:r>
    </w:p>
    <w:p>
      <w:pPr>
        <w:numPr>
          <w:ilvl w:val="0"/>
          <w:numId w:val="1003"/>
        </w:numPr>
        <w:pStyle w:val="Compact"/>
      </w:pPr>
      <w:r>
        <w:rPr>
          <w:bCs/>
          <w:b/>
        </w:rPr>
        <w:t xml:space="preserve">Competitive Landscape:</w:t>
      </w:r>
      <w:r>
        <w:t xml:space="preserve"> </w:t>
      </w:r>
      <w:r>
        <w:t xml:space="preserve">Rival banks intensified marketing in suburban Lima districts. In response, our Lima branch deployed mobile banking units to underserved areas (e.g., San Juan de Lurigancho), generating 327 qualified leads in Q3</w:t>
      </w:r>
    </w:p>
    <w:bookmarkEnd w:id="29"/>
    <w:bookmarkStart w:id="30" w:name="sales-team-performance-development"/>
    <w:p>
      <w:pPr>
        <w:pStyle w:val="Heading2"/>
      </w:pPr>
      <w:r>
        <w:t xml:space="preserve">Sales Team Performance &amp; Development</w:t>
      </w:r>
    </w:p>
    <w:p>
      <w:pPr>
        <w:pStyle w:val="FirstParagraph"/>
      </w:pPr>
      <w:r>
        <w:t xml:space="preserve">Central to our success was the professional growth of our Banker team. The Lima branch implemented a tailored sales development program focusing on:</w:t>
      </w:r>
    </w:p>
    <w:p>
      <w:pPr>
        <w:numPr>
          <w:ilvl w:val="0"/>
          <w:numId w:val="1004"/>
        </w:numPr>
        <w:pStyle w:val="Compact"/>
      </w:pPr>
      <w:r>
        <w:t xml:space="preserve">Cultural intelligence training for serving diverse Lima demographics (from Miraflores to Comas)</w:t>
      </w:r>
    </w:p>
    <w:p>
      <w:pPr>
        <w:numPr>
          <w:ilvl w:val="0"/>
          <w:numId w:val="1004"/>
        </w:numPr>
        <w:pStyle w:val="Compact"/>
      </w:pPr>
      <w:r>
        <w:t xml:space="preserve">Product mastery sessions led by regional SME specialists</w:t>
      </w:r>
    </w:p>
    <w:p>
      <w:pPr>
        <w:numPr>
          <w:ilvl w:val="0"/>
          <w:numId w:val="1004"/>
        </w:numPr>
        <w:pStyle w:val="Compact"/>
      </w:pPr>
      <w:r>
        <w:t xml:space="preserve">Client relationship management frameworks specific to Peruvian business culture</w:t>
      </w:r>
    </w:p>
    <w:p>
      <w:pPr>
        <w:pStyle w:val="FirstParagraph"/>
      </w:pPr>
      <w:r>
        <w:t xml:space="preserve">The result: 92% of Banker staff achieved sales certifications, directly correlating with higher client retention (94% vs. industry 82%). As reported in our internal survey, "The ability to speak clients' language—both Spanish and business culture—was the single biggest differentiator in closing deals."</w:t>
      </w:r>
    </w:p>
    <w:bookmarkEnd w:id="30"/>
    <w:bookmarkStart w:id="31" w:name="strategic-recommendations-for-q4-2023"/>
    <w:p>
      <w:pPr>
        <w:pStyle w:val="Heading2"/>
      </w:pPr>
      <w:r>
        <w:t xml:space="preserve">Strategic Recommendations for Q4 2023</w:t>
      </w:r>
    </w:p>
    <w:p>
      <w:pPr>
        <w:pStyle w:val="FirstParagraph"/>
      </w:pPr>
      <w:r>
        <w:t xml:space="preserve">Based on this Sales Report analysis, we recommend:</w:t>
      </w:r>
    </w:p>
    <w:p>
      <w:pPr>
        <w:numPr>
          <w:ilvl w:val="0"/>
          <w:numId w:val="1005"/>
        </w:numPr>
        <w:pStyle w:val="Compact"/>
      </w:pPr>
      <w:r>
        <w:rPr>
          <w:bCs/>
          <w:b/>
        </w:rPr>
        <w:t xml:space="preserve">Expand Agri-Finance Partnerships:</w:t>
      </w:r>
      <w:r>
        <w:t xml:space="preserve"> </w:t>
      </w:r>
      <w:r>
        <w:t xml:space="preserve">Formalize agreements with Peru's largest agricultural exporters to capture growing trade volumes</w:t>
      </w:r>
    </w:p>
    <w:p>
      <w:pPr>
        <w:numPr>
          <w:ilvl w:val="0"/>
          <w:numId w:val="1005"/>
        </w:numPr>
        <w:pStyle w:val="Compact"/>
      </w:pPr>
      <w:r>
        <w:rPr>
          <w:bCs/>
          <w:b/>
        </w:rPr>
        <w:t xml:space="preserve">Leverage Digital Tools:</w:t>
      </w:r>
      <w:r>
        <w:t xml:space="preserve"> </w:t>
      </w:r>
      <w:r>
        <w:t xml:space="preserve">Launch AI-powered credit assessment for SMEs using local financial data (reducing approval time from 14 to 3 business days)</w:t>
      </w:r>
    </w:p>
    <w:p>
      <w:pPr>
        <w:numPr>
          <w:ilvl w:val="0"/>
          <w:numId w:val="1005"/>
        </w:numPr>
        <w:pStyle w:val="Compact"/>
      </w:pPr>
      <w:r>
        <w:rPr>
          <w:bCs/>
          <w:b/>
        </w:rPr>
        <w:t xml:space="preserve">Community Engagement:</w:t>
      </w:r>
      <w:r>
        <w:t xml:space="preserve"> </w:t>
      </w:r>
      <w:r>
        <w:t xml:space="preserve">Sponsor Lima Chamber of Commerce events to build brand visibility in key economic zones</w:t>
      </w:r>
    </w:p>
    <w:bookmarkEnd w:id="31"/>
    <w:bookmarkStart w:id="32" w:name="X96596aff230099cd9890bc6cbf82977834c1bc5"/>
    <w:p>
      <w:pPr>
        <w:pStyle w:val="Heading2"/>
      </w:pPr>
      <w:r>
        <w:t xml:space="preserve">Conclusion: The Future of Banking in Peru Lima</w:t>
      </w:r>
    </w:p>
    <w:p>
      <w:pPr>
        <w:pStyle w:val="FirstParagraph"/>
      </w:pPr>
      <w:r>
        <w:t xml:space="preserve">This Q3 Sales Report confirms that our Banker strategy—rooted in deep local market understanding and agile product adaptation—is driving sustainable growth in Peru Lima. As the capital city continues to attract foreign investment (7.2% GDP growth forecast for 2024), our branch is positioned to capture significant market share through client-centric solutions.</w:t>
      </w:r>
    </w:p>
    <w:p>
      <w:pPr>
        <w:pStyle w:val="BodyText"/>
      </w:pPr>
      <w:r>
        <w:t xml:space="preserve">Crucially, our success demonstrates that financial services thrive when delivered with cultural intelligence. The Lima branch's ability to navigate Peru's unique economic ecosystem—where traditional banking meets digital disruption—sets a benchmark for all Global Banking Solutions operations. Moving forward, we will maintain this hyper-local focus while scaling proven strategies across Peruvian markets.</w:t>
      </w:r>
    </w:p>
    <w:p>
      <w:pPr>
        <w:pStyle w:val="BodyText"/>
      </w:pPr>
      <w:r>
        <w:t xml:space="preserve">As our CEO recently stated regarding the Peru Lima operation: "This isn't just about meeting targets—it's about building financial partnerships that empower Lima's economic heartbeat." Our Sales Report reflects that commitment in every metric, every client story, and every strategic decision made by our dedicated Banker team.</w:t>
      </w:r>
    </w:p>
    <w:p>
      <w:pPr>
        <w:pStyle w:val="BodyText"/>
      </w:pPr>
      <w:r>
        <w:rPr>
          <w:bCs/>
          <w:b/>
        </w:rPr>
        <w:t xml:space="preserve">Global Banking Solutions - Peru Lima Branch</w:t>
      </w:r>
    </w:p>
    <w:p>
      <w:pPr>
        <w:pStyle w:val="BodyText"/>
      </w:pPr>
      <w:r>
        <w:t xml:space="preserve">Driving Financial Excellence Since 1998 | "Your Growth, Our Purpose"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Lima Operations</dc:title>
  <dc:creator/>
  <dc:language>en</dc:language>
  <cp:keywords/>
  <dcterms:created xsi:type="dcterms:W3CDTF">2026-07-21T07:20:10Z</dcterms:created>
  <dcterms:modified xsi:type="dcterms:W3CDTF">2026-07-21T07:20:10Z</dcterms:modified>
</cp:coreProperties>
</file>

<file path=docProps/custom.xml><?xml version="1.0" encoding="utf-8"?>
<Properties xmlns="http://schemas.openxmlformats.org/officeDocument/2006/custom-properties" xmlns:vt="http://schemas.openxmlformats.org/officeDocument/2006/docPropsVTypes"/>
</file>