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401cd6d6f64a4380d80f194ea8241c3912d35ed"/>
    <w:p>
      <w:pPr>
        <w:pStyle w:val="Heading1"/>
      </w:pPr>
      <w:r>
        <w:t xml:space="preserve">Qatar Doha Sales Report: Comprehensive Analysis of Banking Performance and Market Opportunities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Senior Banking Sales Division, Qatar Doha Branch</w:t>
      </w:r>
    </w:p>
    <w:bookmarkStart w:id="20" w:name="Xd90c9cb814b4021e51cdd6e86739d399231b500"/>
    <w:p>
      <w:pPr>
        <w:pStyle w:val="Heading2"/>
      </w:pPr>
      <w:r>
        <w:t xml:space="preserve">I. Introduction: The Strategic Imperative for Sales Excellence in Qatar Doha</w:t>
      </w:r>
    </w:p>
    <w:p>
      <w:pPr>
        <w:pStyle w:val="FirstParagraph"/>
      </w:pPr>
      <w:r>
        <w:t xml:space="preserve">This comprehensive Sales Report details the performance trajectory of our banking operations across the dynamic financial landscape of Qatar Doha. As a premier institution serving the Kingdom's economic heartbeat, our commitment to delivering exceptional value through strategic banking solutions remains paramount. This document serves as both a performance audit and a roadmap for future growth, emphasizing how every interaction with clients—from retail customers to multinational corporations—reflects our institutional reputation in Qatar Doha. The role of the modern banker transcends transactional services; it demands cultural intelligence, market agility, and unwavering dedication to client success within Qatar's unique economic ecosystem.</w:t>
      </w:r>
    </w:p>
    <w:bookmarkEnd w:id="20"/>
    <w:bookmarkStart w:id="21" w:name="Xf47e11b999942eefef460ec1d10fcdcff2b0f1d"/>
    <w:p>
      <w:pPr>
        <w:pStyle w:val="Heading2"/>
      </w:pPr>
      <w:r>
        <w:t xml:space="preserve">II. Current Sales Performance: Data-Driven Insights from Qatar Doha</w:t>
      </w:r>
    </w:p>
    <w:p>
      <w:pPr>
        <w:pStyle w:val="FirstParagraph"/>
      </w:pPr>
      <w:r>
        <w:t xml:space="preserve">Our Q3 2023 sales metrics demonstrate robust growth across all key segments, particularly in the Doha financial district where market saturation requires exceptional differentiation. The Sales Report reveals a 14.7% year-over-year increase in new client acquisitions, with corporate banking leading at 19.2%. Crucially, these gains stem not from volume alone but from high-value relationships—32% of new clients secured represent strategic partnerships with Qatari sovereign entities and Fortune 500 firms operating in Qatar Doha. This success underscores the critical role of our banker relationship managers who leverage deep local market knowledge to tailor solutions aligned with Qatar National Vision 2030.</w:t>
      </w:r>
    </w:p>
    <w:p>
      <w:pPr>
        <w:pStyle w:val="BodyText"/>
      </w:pPr>
      <w:r>
        <w:t xml:space="preserve">Notable achievements include:</w:t>
      </w:r>
    </w:p>
    <w:p>
      <w:pPr>
        <w:numPr>
          <w:ilvl w:val="0"/>
          <w:numId w:val="1001"/>
        </w:numPr>
        <w:pStyle w:val="Compact"/>
      </w:pPr>
      <w:r>
        <w:t xml:space="preserve">187% growth in digital banking adoption among Qatari SMEs</w:t>
      </w:r>
    </w:p>
    <w:p>
      <w:pPr>
        <w:numPr>
          <w:ilvl w:val="0"/>
          <w:numId w:val="1001"/>
        </w:numPr>
        <w:pStyle w:val="Compact"/>
      </w:pPr>
      <w:r>
        <w:t xml:space="preserve">Record-breaking $450M in sustainable finance transactions (aligned with Qatar's ESG goals)</w:t>
      </w:r>
    </w:p>
    <w:p>
      <w:pPr>
        <w:numPr>
          <w:ilvl w:val="0"/>
          <w:numId w:val="1001"/>
        </w:numPr>
        <w:pStyle w:val="Compact"/>
      </w:pPr>
      <w:r>
        <w:t xml:space="preserve">92% client retention rate—exceeding regional benchmarks by 17%</w:t>
      </w:r>
    </w:p>
    <w:bookmarkEnd w:id="21"/>
    <w:bookmarkStart w:id="22" w:name="Xd0486cca3cb7a80bcf4899c1a457b555b311338"/>
    <w:p>
      <w:pPr>
        <w:pStyle w:val="Heading2"/>
      </w:pPr>
      <w:r>
        <w:t xml:space="preserve">III. Market Analysis: Navigating Qatar Doha's Evolving Banking Landscape</w:t>
      </w:r>
    </w:p>
    <w:p>
      <w:pPr>
        <w:pStyle w:val="FirstParagraph"/>
      </w:pPr>
      <w:r>
        <w:t xml:space="preserve">The Qatar Doha market presents both unprecedented opportunities and nuanced challenges that demand specialized banking expertise. Our Sales Report identifies three critical trends reshaping client expectations:</w:t>
      </w:r>
    </w:p>
    <w:p>
      <w:pPr>
        <w:numPr>
          <w:ilvl w:val="0"/>
          <w:numId w:val="1002"/>
        </w:numPr>
        <w:pStyle w:val="Compact"/>
      </w:pPr>
      <w:r>
        <w:rPr>
          <w:bCs/>
          <w:b/>
        </w:rPr>
        <w:t xml:space="preserve">Hyper-Personalization Demand:</w:t>
      </w:r>
      <w:r>
        <w:t xml:space="preserve"> </w:t>
      </w:r>
      <w:r>
        <w:t xml:space="preserve">Clients now expect solutions reflecting Qatar's cultural context—e.g., Sharia-compliant investment structures for local families, and liquidity management tools for state-owned enterprises during peak construction seasons. A competent banker must interpret these unspoken needs through community engagement in Doha.</w:t>
      </w:r>
    </w:p>
    <w:p>
      <w:pPr>
        <w:numPr>
          <w:ilvl w:val="0"/>
          <w:numId w:val="1002"/>
        </w:numPr>
        <w:pStyle w:val="Compact"/>
      </w:pPr>
      <w:r>
        <w:rPr>
          <w:bCs/>
          <w:b/>
        </w:rPr>
        <w:t xml:space="preserve">Sustainability as Non-Negotiable:</w:t>
      </w:r>
      <w:r>
        <w:t xml:space="preserve"> </w:t>
      </w:r>
      <w:r>
        <w:t xml:space="preserve">89% of corporate clients now prioritize ESG-aligned banking products. Our Sales Report tracks a 63% surge in green loan applications after we launched our Qatar-specific sustainability framework, proving that ethical banking drives revenue.</w:t>
      </w:r>
    </w:p>
    <w:p>
      <w:pPr>
        <w:numPr>
          <w:ilvl w:val="0"/>
          <w:numId w:val="1002"/>
        </w:numPr>
        <w:pStyle w:val="Compact"/>
      </w:pPr>
      <w:r>
        <w:rPr>
          <w:bCs/>
          <w:b/>
        </w:rPr>
        <w:t xml:space="preserve">Digital Transformation Acceleration:</w:t>
      </w:r>
      <w:r>
        <w:t xml:space="preserve"> </w:t>
      </w:r>
      <w:r>
        <w:t xml:space="preserve">Doha's fintech ecosystem growth (52% YoY) requires bankers to master hybrid engagement models—blending AI-driven insights with human relationship-building. Our digital sales platform increased conversion rates by 34% in Q3.</w:t>
      </w:r>
    </w:p>
    <w:bookmarkEnd w:id="22"/>
    <w:bookmarkStart w:id="23" w:name="X5b1601213fd8e36896d9e0ba31f9d1876fc8d90"/>
    <w:p>
      <w:pPr>
        <w:pStyle w:val="Heading2"/>
      </w:pPr>
      <w:r>
        <w:t xml:space="preserve">IV. Challenges &amp; Strategic Responses: The Banker's Crucible in Qatar Doha</w:t>
      </w:r>
    </w:p>
    <w:p>
      <w:pPr>
        <w:pStyle w:val="FirstParagraph"/>
      </w:pPr>
      <w:r>
        <w:t xml:space="preserve">Despite strong results, our Sales Report highlights operational friction points requiring immediate banker-level intervention:</w:t>
      </w:r>
    </w:p>
    <w:p>
      <w:pPr>
        <w:numPr>
          <w:ilvl w:val="0"/>
          <w:numId w:val="1003"/>
        </w:numPr>
        <w:pStyle w:val="Compact"/>
      </w:pPr>
      <w:r>
        <w:rPr>
          <w:iCs/>
          <w:i/>
        </w:rPr>
        <w:t xml:space="preserve">Challenge:</w:t>
      </w:r>
      <w:r>
        <w:t xml:space="preserve"> </w:t>
      </w:r>
      <w:r>
        <w:t xml:space="preserve">Competition for high-net-worth clients from regional banks leveraging Gulf-wide brand recognition.</w:t>
      </w:r>
      <w:r>
        <w:br/>
      </w:r>
      <w:r>
        <w:rPr>
          <w:iCs/>
          <w:i/>
        </w:rPr>
        <w:t xml:space="preserve">Solution:</w:t>
      </w:r>
      <w:r>
        <w:t xml:space="preserve"> </w:t>
      </w:r>
      <w:r>
        <w:t xml:space="preserve">Our Doha-based banker teams now conduct quarterly "Qatar Pulse" workshops with clients to co-create value—e.g., customizing family office structures aligned with Qatari inheritance laws, not generic templates.</w:t>
      </w:r>
    </w:p>
    <w:p>
      <w:pPr>
        <w:numPr>
          <w:ilvl w:val="0"/>
          <w:numId w:val="1003"/>
        </w:numPr>
        <w:pStyle w:val="Compact"/>
      </w:pPr>
      <w:r>
        <w:rPr>
          <w:iCs/>
          <w:i/>
        </w:rPr>
        <w:t xml:space="preserve">Challenge:</w:t>
      </w:r>
      <w:r>
        <w:t xml:space="preserve"> </w:t>
      </w:r>
      <w:r>
        <w:t xml:space="preserve">Regulatory complexity in Qatar's rapidly evolving fintech sector.</w:t>
      </w:r>
      <w:r>
        <w:br/>
      </w:r>
      <w:r>
        <w:rPr>
          <w:iCs/>
          <w:i/>
        </w:rPr>
        <w:t xml:space="preserve">Solution:</w:t>
      </w:r>
      <w:r>
        <w:t xml:space="preserve"> </w:t>
      </w:r>
      <w:r>
        <w:t xml:space="preserve">Dedicated "Regulatory Navigator" bankers trained in QFC (Qatar Financial Centre) frameworks now lead 100% of new tech partnership discussions, turning compliance into a competitive advantage.</w:t>
      </w:r>
    </w:p>
    <w:p>
      <w:pPr>
        <w:numPr>
          <w:ilvl w:val="0"/>
          <w:numId w:val="1003"/>
        </w:numPr>
        <w:pStyle w:val="Compact"/>
      </w:pPr>
      <w:r>
        <w:rPr>
          <w:iCs/>
          <w:i/>
        </w:rPr>
        <w:t xml:space="preserve">Challenge:</w:t>
      </w:r>
      <w:r>
        <w:t xml:space="preserve"> </w:t>
      </w:r>
      <w:r>
        <w:t xml:space="preserve">Client reluctance to adopt digital banking due to cultural preferences.</w:t>
      </w:r>
      <w:r>
        <w:br/>
      </w:r>
      <w:r>
        <w:rPr>
          <w:iCs/>
          <w:i/>
        </w:rPr>
        <w:t xml:space="preserve">Solution:</w:t>
      </w:r>
      <w:r>
        <w:t xml:space="preserve"> </w:t>
      </w:r>
      <w:r>
        <w:t xml:space="preserve">Banker-led "Digital Empowerment" sessions in Doha community centers—combining technology training with traditional advisory support—resulted in a 76% adoption lift among senior clients.</w:t>
      </w:r>
    </w:p>
    <w:bookmarkEnd w:id="23"/>
    <w:bookmarkStart w:id="24" w:name="Xb231b25ace4fcd1670fa4062cf5802137c3e1f8"/>
    <w:p>
      <w:pPr>
        <w:pStyle w:val="Heading2"/>
      </w:pPr>
      <w:r>
        <w:t xml:space="preserve">V. The Human Element: Why the Banker Remains Central to Qatar Doha Success</w:t>
      </w:r>
    </w:p>
    <w:p>
      <w:pPr>
        <w:pStyle w:val="FirstParagraph"/>
      </w:pPr>
      <w:r>
        <w:t xml:space="preserve">Amid AI-driven banking trends, this Sales Report reaffirms that authentic human connection defines success in Qatar Doha. Our most profitable accounts (averaging 47% higher lifetime value) are those managed by bankers who:</w:t>
      </w:r>
    </w:p>
    <w:p>
      <w:pPr>
        <w:numPr>
          <w:ilvl w:val="0"/>
          <w:numId w:val="1004"/>
        </w:numPr>
        <w:pStyle w:val="Compact"/>
      </w:pPr>
      <w:r>
        <w:t xml:space="preserve">Attend local cultural events (e.g., Qatar National Day celebrations) to build trust beyond transactions</w:t>
      </w:r>
    </w:p>
    <w:p>
      <w:pPr>
        <w:numPr>
          <w:ilvl w:val="0"/>
          <w:numId w:val="1004"/>
        </w:numPr>
        <w:pStyle w:val="Compact"/>
      </w:pPr>
      <w:r>
        <w:t xml:space="preserve">Master Arabic business etiquette—using "Salaam" greetings and understanding decision-making hierarchies</w:t>
      </w:r>
    </w:p>
    <w:p>
      <w:pPr>
        <w:numPr>
          <w:ilvl w:val="0"/>
          <w:numId w:val="1004"/>
        </w:numPr>
        <w:pStyle w:val="Compact"/>
      </w:pPr>
      <w:r>
        <w:t xml:space="preserve">Prioritize in-person meetings for high-stakes negotiations, reflecting Qatari relationship norms</w:t>
      </w:r>
    </w:p>
    <w:p>
      <w:pPr>
        <w:pStyle w:val="FirstParagraph"/>
      </w:pPr>
      <w:r>
        <w:t xml:space="preserve">One standout example: A Doha-based banker secured a $120M infrastructure project by first collaborating with the client's family office to understand their generational wealth goals—proving that banking is not just about numbers but understanding Qatar's socio-economic fabric.</w:t>
      </w:r>
    </w:p>
    <w:bookmarkEnd w:id="24"/>
    <w:bookmarkStart w:id="25" w:name="X909ca5b4350a996748a6de80f747e6085a6017e"/>
    <w:p>
      <w:pPr>
        <w:pStyle w:val="Heading2"/>
      </w:pPr>
      <w:r>
        <w:t xml:space="preserve">VI. Strategic Roadmap for Q4 2023 &amp; Beyond: Scaling Success in Qatar Doha</w:t>
      </w:r>
    </w:p>
    <w:p>
      <w:pPr>
        <w:pStyle w:val="FirstParagraph"/>
      </w:pPr>
      <w:r>
        <w:t xml:space="preserve">Based on this Sales Report, we recommend three priority initiatives to cement our market leadership in Qatar Doha:</w:t>
      </w:r>
    </w:p>
    <w:p>
      <w:pPr>
        <w:numPr>
          <w:ilvl w:val="0"/>
          <w:numId w:val="1005"/>
        </w:numPr>
        <w:pStyle w:val="Compact"/>
      </w:pPr>
      <w:r>
        <w:rPr>
          <w:bCs/>
          <w:b/>
        </w:rPr>
        <w:t xml:space="preserve">Launch the "Qatar Trust Network":</w:t>
      </w:r>
      <w:r>
        <w:t xml:space="preserve"> </w:t>
      </w:r>
      <w:r>
        <w:t xml:space="preserve">A dedicated banker council convening monthly with Qatari business associations to co-design client solutions, moving beyond transactional sales to community partnership.</w:t>
      </w:r>
    </w:p>
    <w:p>
      <w:pPr>
        <w:numPr>
          <w:ilvl w:val="0"/>
          <w:numId w:val="1005"/>
        </w:numPr>
        <w:pStyle w:val="Compact"/>
      </w:pPr>
      <w:r>
        <w:rPr>
          <w:bCs/>
          <w:b/>
        </w:rPr>
        <w:t xml:space="preserve">Develop a Doha-Specific ESG Index:</w:t>
      </w:r>
      <w:r>
        <w:t xml:space="preserve"> </w:t>
      </w:r>
      <w:r>
        <w:t xml:space="preserve">Measuring our sustainability impact against Qatar's national targets to create transparent value reporting for clients.</w:t>
      </w:r>
    </w:p>
    <w:p>
      <w:pPr>
        <w:numPr>
          <w:ilvl w:val="0"/>
          <w:numId w:val="1005"/>
        </w:numPr>
        <w:pStyle w:val="Compact"/>
      </w:pPr>
      <w:r>
        <w:rPr>
          <w:bCs/>
          <w:b/>
        </w:rPr>
        <w:t xml:space="preserve">Invest in Cultural Intelligence Training:</w:t>
      </w:r>
      <w:r>
        <w:t xml:space="preserve"> </w:t>
      </w:r>
      <w:r>
        <w:t xml:space="preserve">Mandatory programs for all bankers covering Qatari business customs, Islamic finance principles, and regional economic indicators.</w:t>
      </w:r>
    </w:p>
    <w:bookmarkEnd w:id="25"/>
    <w:bookmarkStart w:id="26" w:name="X1a337fa61d7f2d4453c9e535cbea856ad04c09a"/>
    <w:p>
      <w:pPr>
        <w:pStyle w:val="Heading2"/>
      </w:pPr>
      <w:r>
        <w:t xml:space="preserve">VII. Conclusion: The Banker's Legacy in Qatar Doha</w:t>
      </w:r>
    </w:p>
    <w:p>
      <w:pPr>
        <w:pStyle w:val="FirstParagraph"/>
      </w:pPr>
      <w:r>
        <w:t xml:space="preserve">This Sales Report unequivocally demonstrates that success in the Qatar Doha banking sector hinges on elevating the banker from a transaction executor to a strategic partner—deeply embedded in our client's business and cultural context. As the financial landscape evolves toward greater sophistication, our competitive edge will not come from products alone but from the human expertise of bankers who understand that every sales interaction is an investment in Qatar's future. The metrics are clear: when bankers prioritize relationship depth over transaction volume, they unlock sustainable growth aligned with Qatar National Vision 2030. Our commitment to excellence in banking—delivered through culturally attuned professionals—is not merely a business strategy; it is the foundation of our contribution to Qatar Doha's prosperity.</w:t>
      </w:r>
    </w:p>
    <w:p>
      <w:pPr>
        <w:pStyle w:val="BodyText"/>
      </w:pPr>
      <w:r>
        <w:rPr>
          <w:bCs/>
          <w:b/>
        </w:rPr>
        <w:t xml:space="preserve">Next Steps:</w:t>
      </w:r>
      <w:r>
        <w:t xml:space="preserve"> </w:t>
      </w:r>
      <w:r>
        <w:t xml:space="preserve">All banker teams will implement the Qatari Cultural Intelligence Framework by January 2024, with quarterly performance reviews tied to client cultural alignment scores. The Sales Report has been shared with every branch in Qatar Doha to drive collective ownership of our market leadership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Banking Performance &amp; Strategic Outlook</dc:title>
  <dc:creator/>
  <dc:language>en</dc:language>
  <cp:keywords/>
  <dcterms:created xsi:type="dcterms:W3CDTF">2025-12-13T19:50:57Z</dcterms:created>
  <dcterms:modified xsi:type="dcterms:W3CDTF">2025-12-13T19:50:57Z</dcterms:modified>
</cp:coreProperties>
</file>

<file path=docProps/custom.xml><?xml version="1.0" encoding="utf-8"?>
<Properties xmlns="http://schemas.openxmlformats.org/officeDocument/2006/custom-properties" xmlns:vt="http://schemas.openxmlformats.org/officeDocument/2006/docPropsVTypes"/>
</file>