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Moscow</w:t>
      </w:r>
      <w:r>
        <w:t xml:space="preserve"> </w:t>
      </w:r>
      <w:r>
        <w:t xml:space="preserve">Banking</w:t>
      </w:r>
      <w:r>
        <w:t xml:space="preserve"> </w:t>
      </w:r>
      <w:r>
        <w:t xml:space="preserve">Performance</w:t>
      </w:r>
    </w:p>
    <w:bookmarkStart w:id="27" w:name="X1fa3be162bf4840f563d5455fa39c5638a12372"/>
    <w:p>
      <w:pPr>
        <w:pStyle w:val="Heading1"/>
      </w:pPr>
      <w:r>
        <w:t xml:space="preserve">Comprehensive Sales Report for Senior Banker in Russia Moscow Market (Q3-Q4 2023)</w:t>
      </w:r>
    </w:p>
    <w:p>
      <w:pPr>
        <w:pStyle w:val="FirstParagraph"/>
      </w:pPr>
      <w:r>
        <w:t xml:space="preserve">This official</w:t>
      </w:r>
      <w:r>
        <w:t xml:space="preserve"> </w:t>
      </w:r>
      <w:r>
        <w:rPr>
          <w:bCs/>
          <w:b/>
        </w:rPr>
        <w:t xml:space="preserve">Sales Report</w:t>
      </w:r>
      <w:r>
        <w:t xml:space="preserve"> </w:t>
      </w:r>
      <w:r>
        <w:t xml:space="preserve">details the performance metrics, strategic initiatives, and market insights generated by our banking operations across Russia Moscow during the third and fourth quarters of 2023. As a dedicated</w:t>
      </w:r>
      <w:r>
        <w:t xml:space="preserve"> </w:t>
      </w:r>
      <w:r>
        <w:rPr>
          <w:bCs/>
          <w:b/>
        </w:rPr>
        <w:t xml:space="preserve">Banker</w:t>
      </w:r>
      <w:r>
        <w:t xml:space="preserve"> </w:t>
      </w:r>
      <w:r>
        <w:t xml:space="preserve">operating within one of Eurasia's most dynamic financial hubs, this document serves as both an accountability framework and a strategic roadmap for sustained growth in the Russian market. The report underscores how our Moscow-based team navigated complex economic conditions while maintaining exceptional client engagement and revenue generation.</w:t>
      </w:r>
    </w:p>
    <w:bookmarkStart w:id="21" w:name="Xf9c02703c0caf8485b8df2420880aa70f76ec87"/>
    <w:p>
      <w:pPr>
        <w:pStyle w:val="Heading2"/>
      </w:pPr>
      <w:r>
        <w:t xml:space="preserve">Executive Summary: Achieving Resilience in Moscow's Banking Landscape</w:t>
      </w:r>
    </w:p>
    <w:p>
      <w:pPr>
        <w:pStyle w:val="FirstParagraph"/>
      </w:pPr>
      <w:r>
        <w:t xml:space="preserve">The Russia Moscow market demonstrated remarkable resilience during Q3-Q4 2023 despite global macroeconomic headwinds. Our team, led by the senior</w:t>
      </w:r>
      <w:r>
        <w:t xml:space="preserve"> </w:t>
      </w:r>
      <w:r>
        <w:rPr>
          <w:bCs/>
          <w:b/>
        </w:rPr>
        <w:t xml:space="preserve">Banker</w:t>
      </w:r>
      <w:r>
        <w:t xml:space="preserve">, achieved a 17.8% year-over-year increase in cross-sold financial products to corporate clients within Moscow's business districts (Moscow City, Zaryadye, and Central Business District). Total sales revenue reached $42.7 million during the reporting period – exceeding our quarterly targets by 12.3%. This performance was particularly notable given Russia's current economic environment, where traditional banking metrics face unique challenges due to sanctions and currency volatility.</w:t>
      </w:r>
    </w:p>
    <w:bookmarkStart w:id="20" w:name="X6bb06f8af031d41bad8a2b466e2391113c32b53"/>
    <w:p>
      <w:pPr>
        <w:pStyle w:val="Heading3"/>
      </w:pPr>
      <w:r>
        <w:t xml:space="preserve">Key Sales Achievement: Moscow Corporate Client Expansion</w:t>
      </w:r>
    </w:p>
    <w:p>
      <w:pPr>
        <w:pStyle w:val="FirstParagraph"/>
      </w:pPr>
      <w:r>
        <w:t xml:space="preserve">Our team successfully onboarded 47 new corporate clients in Moscow during Q4, including major energy sector players and manufacturing firms previously served by international competitors. This represented a 29% increase from the previous quarter and directly contributed to our $18.2 million in new business pipeline – the highest quarterly figure since establishing operations in Russia Moscow. The</w:t>
      </w:r>
      <w:r>
        <w:t xml:space="preserve"> </w:t>
      </w:r>
      <w:r>
        <w:rPr>
          <w:bCs/>
          <w:b/>
        </w:rPr>
        <w:t xml:space="preserve">Banker</w:t>
      </w:r>
      <w:r>
        <w:t xml:space="preserve">'s personalized relationship management approach was instrumental in securing these high-value accounts.</w:t>
      </w:r>
    </w:p>
    <w:bookmarkEnd w:id="20"/>
    <w:bookmarkEnd w:id="21"/>
    <w:bookmarkStart w:id="22" w:name="X8f3ba3fb292bc1814f08b4562df2a5713d70c5e"/>
    <w:p>
      <w:pPr>
        <w:pStyle w:val="Heading2"/>
      </w:pPr>
      <w:r>
        <w:t xml:space="preserve">Market Analysis: Navigating Russia Moscow's Unique Banking Dynamics</w:t>
      </w:r>
    </w:p>
    <w:p>
      <w:pPr>
        <w:pStyle w:val="FirstParagraph"/>
      </w:pPr>
      <w:r>
        <w:t xml:space="preserve">The Moscow banking market requires specialized expertise that transcends standard international practices. As a</w:t>
      </w:r>
      <w:r>
        <w:t xml:space="preserve"> </w:t>
      </w:r>
      <w:r>
        <w:rPr>
          <w:bCs/>
          <w:b/>
        </w:rPr>
        <w:t xml:space="preserve">Banker</w:t>
      </w:r>
      <w:r>
        <w:t xml:space="preserve"> </w:t>
      </w:r>
      <w:r>
        <w:t xml:space="preserve">operating within this ecosystem, we've developed nuanced understanding of local compliance frameworks, client decision-making hierarchies, and cultural nuances in business negotiations. Our Q3-Q4 analysis reveals three critical market characteristics:</w:t>
      </w:r>
    </w:p>
    <w:p>
      <w:pPr>
        <w:numPr>
          <w:ilvl w:val="0"/>
          <w:numId w:val="1001"/>
        </w:numPr>
        <w:pStyle w:val="Compact"/>
      </w:pPr>
      <w:r>
        <w:rPr>
          <w:bCs/>
          <w:b/>
        </w:rPr>
        <w:t xml:space="preserve">Shift to Localized Financial Solutions:</w:t>
      </w:r>
      <w:r>
        <w:t xml:space="preserve"> </w:t>
      </w:r>
      <w:r>
        <w:t xml:space="preserve">Moscow-based corporations increasingly demand customized credit facilities denominated in rubles with flexible repayment structures – a strategic pivot we implemented through our dedicated Russia Moscow product team.</w:t>
      </w:r>
    </w:p>
    <w:p>
      <w:pPr>
        <w:numPr>
          <w:ilvl w:val="0"/>
          <w:numId w:val="1001"/>
        </w:numPr>
        <w:pStyle w:val="Compact"/>
      </w:pPr>
      <w:r>
        <w:rPr>
          <w:bCs/>
          <w:b/>
        </w:rPr>
        <w:t xml:space="preserve">Rising Demand for Digital Banking Services:</w:t>
      </w:r>
      <w:r>
        <w:t xml:space="preserve"> </w:t>
      </w:r>
      <w:r>
        <w:t xml:space="preserve">68% of new corporate clients requested integrated fintech solutions during sales interactions, highlighting the need for our</w:t>
      </w:r>
      <w:r>
        <w:t xml:space="preserve"> </w:t>
      </w:r>
      <w:r>
        <w:rPr>
          <w:bCs/>
          <w:b/>
        </w:rPr>
        <w:t xml:space="preserve">Banker</w:t>
      </w:r>
      <w:r>
        <w:t xml:space="preserve"> </w:t>
      </w:r>
      <w:r>
        <w:t xml:space="preserve">to master digital sales tools beyond traditional relationship management.</w:t>
      </w:r>
    </w:p>
    <w:p>
      <w:pPr>
        <w:numPr>
          <w:ilvl w:val="0"/>
          <w:numId w:val="1001"/>
        </w:numPr>
        <w:pStyle w:val="Compact"/>
      </w:pPr>
      <w:r>
        <w:rPr>
          <w:bCs/>
          <w:b/>
        </w:rPr>
        <w:t xml:space="preserve">Sanctions-Driven Market Fragmentation:</w:t>
      </w:r>
      <w:r>
        <w:t xml:space="preserve"> </w:t>
      </w:r>
      <w:r>
        <w:t xml:space="preserve">The current geopolitical climate has accelerated de-dollarization efforts, creating opportunities for Moscow-based institutions to offer competitive ruble-denominated products that align with Russia's financial sovereignty strategy.</w:t>
      </w:r>
    </w:p>
    <w:bookmarkEnd w:id="22"/>
    <w:bookmarkStart w:id="23" w:name="Xd81dfd9ae78b48a3be8a1a48c57dc7082147c7c"/>
    <w:p>
      <w:pPr>
        <w:pStyle w:val="Heading2"/>
      </w:pPr>
      <w:r>
        <w:t xml:space="preserve">Performance Breakdown: Moscow Sales Metrics</w:t>
      </w:r>
    </w:p>
    <w:p>
      <w:pPr>
        <w:pStyle w:val="FirstParagraph"/>
      </w:pPr>
      <w:r>
        <w:t xml:space="preserve">Product Category</w:t>
      </w:r>
    </w:p>
    <w:p>
      <w:pPr>
        <w:pStyle w:val="BodyText"/>
      </w:pPr>
      <w:r>
        <w:t xml:space="preserve">Q3 Revenue (USD)</w:t>
      </w:r>
    </w:p>
    <w:p>
      <w:pPr>
        <w:pStyle w:val="BodyText"/>
      </w:pPr>
      <w:r>
        <w:t xml:space="preserve">Q4 Revenue (USD)</w:t>
      </w:r>
    </w:p>
    <w:p>
      <w:pPr>
        <w:pStyle w:val="BodyText"/>
      </w:pPr>
      <w:r>
        <w:t xml:space="preserve">% Growth vs. Q3</w:t>
      </w:r>
    </w:p>
    <w:p>
      <w:pPr>
        <w:pStyle w:val="BodyText"/>
      </w:pPr>
      <w:r>
        <w:t xml:space="preserve">Russian Corporate Loans</w:t>
      </w:r>
    </w:p>
    <w:p>
      <w:pPr>
        <w:pStyle w:val="BodyText"/>
      </w:pPr>
      <w:r>
        <w:t xml:space="preserve">$12.4M</w:t>
      </w:r>
    </w:p>
    <w:p>
      <w:pPr>
        <w:pStyle w:val="BodyText"/>
      </w:pPr>
      <w:r>
        <w:t xml:space="preserve">$15.8M</w:t>
      </w:r>
    </w:p>
    <w:p>
      <w:pPr>
        <w:pStyle w:val="BodyText"/>
      </w:pPr>
      <w:r>
        <w:t xml:space="preserve">+27.4%</w:t>
      </w:r>
    </w:p>
    <w:p>
      <w:pPr>
        <w:pStyle w:val="BodyText"/>
      </w:pPr>
      <w:r>
        <w:t xml:space="preserve">Trade Finance Solutions</w:t>
      </w:r>
    </w:p>
    <w:p>
      <w:pPr>
        <w:pStyle w:val="BodyText"/>
      </w:pPr>
      <w:r>
        <w:t xml:space="preserve">$8.9M</w:t>
      </w:r>
    </w:p>
    <w:p>
      <w:pPr>
        <w:pStyle w:val="BodyText"/>
      </w:pPr>
      <w:r>
        <w:t xml:space="preserve">&lt;</w:t>
      </w:r>
    </w:p>
    <w:p>
      <w:pPr>
        <w:pStyle w:val="BodyText"/>
      </w:pPr>
      <w:r>
        <w:t xml:space="preserve">$10.3M</w:t>
      </w:r>
    </w:p>
    <w:p>
      <w:pPr>
        <w:pStyle w:val="BodyText"/>
      </w:pPr>
      <w:r>
        <w:t xml:space="preserve">&lt;</w:t>
      </w:r>
    </w:p>
    <w:p>
      <w:pPr>
        <w:pStyle w:val="BodyText"/>
      </w:pPr>
      <w:r>
        <w:t xml:space="preserve">+15.7%</w:t>
      </w:r>
    </w:p>
    <w:p>
      <w:pPr>
        <w:pStyle w:val="BodyText"/>
      </w:pPr>
      <w:r>
        <w:t xml:space="preserve">Cash Management Services</w:t>
      </w:r>
    </w:p>
    <w:p>
      <w:pPr>
        <w:pStyle w:val="BodyText"/>
      </w:pPr>
      <w:r>
        <w:t xml:space="preserve">$5.2M 10% (Q4)</w:t>
      </w:r>
    </w:p>
    <w:p>
      <w:pPr>
        <w:pStyle w:val="BodyText"/>
      </w:pPr>
      <w:r>
        <w:t xml:space="preserve">- 98% of Moscow-based corporate clients renewed contracts during Q4, demonstrating exceptional client retention in a market where churn typically exceeds industry averages.</w:t>
      </w:r>
    </w:p>
    <w:bookmarkEnd w:id="23"/>
    <w:bookmarkStart w:id="24" w:name="Xd1fe7b4e47bbb9c9ab3d3143c3b5c6168f30d15"/>
    <w:p>
      <w:pPr>
        <w:pStyle w:val="Heading2"/>
      </w:pPr>
      <w:r>
        <w:t xml:space="preserve">Challenges Faced by the Moscow Banker Team</w:t>
      </w:r>
    </w:p>
    <w:p>
      <w:pPr>
        <w:pStyle w:val="FirstParagraph"/>
      </w:pPr>
      <w:r>
        <w:t xml:space="preserve">The role of a</w:t>
      </w:r>
      <w:r>
        <w:t xml:space="preserve"> </w:t>
      </w:r>
      <w:r>
        <w:rPr>
          <w:bCs/>
          <w:b/>
        </w:rPr>
        <w:t xml:space="preserve">Banker</w:t>
      </w:r>
      <w:r>
        <w:t xml:space="preserve"> </w:t>
      </w:r>
      <w:r>
        <w:t xml:space="preserve">in Russia Moscow presents unique operational challenges requiring constant adaptation:</w:t>
      </w:r>
    </w:p>
    <w:p>
      <w:pPr>
        <w:numPr>
          <w:ilvl w:val="0"/>
          <w:numId w:val="1002"/>
        </w:numPr>
        <w:pStyle w:val="Compact"/>
      </w:pPr>
      <w:r>
        <w:rPr>
          <w:iCs/>
          <w:i/>
        </w:rPr>
        <w:t xml:space="preserve">Currency Volatility Management:</w:t>
      </w:r>
      <w:r>
        <w:t xml:space="preserve"> </w:t>
      </w:r>
      <w:r>
        <w:t xml:space="preserve">Fluctuations between ruble and key currencies required real-time sales strategy adjustments for the Moscow team. Our senior banker developed an adaptive pricing model that increased client conversion rates by 18% during Q4's volatile periods.</w:t>
      </w:r>
    </w:p>
    <w:p>
      <w:pPr>
        <w:numPr>
          <w:ilvl w:val="0"/>
          <w:numId w:val="1002"/>
        </w:numPr>
        <w:pStyle w:val="Compact"/>
      </w:pPr>
      <w:r>
        <w:rPr>
          <w:iCs/>
          <w:i/>
        </w:rPr>
        <w:t xml:space="preserve">Regulatory Compliance Navigation:</w:t>
      </w:r>
      <w:r>
        <w:t xml:space="preserve"> </w:t>
      </w:r>
      <w:r>
        <w:t xml:space="preserve">Navigating Russia's evolving financial regulations demanded specialized knowledge. The Moscow-based</w:t>
      </w:r>
      <w:r>
        <w:t xml:space="preserve"> </w:t>
      </w:r>
      <w:r>
        <w:rPr>
          <w:bCs/>
          <w:b/>
        </w:rPr>
        <w:t xml:space="preserve">Banker</w:t>
      </w:r>
      <w:r>
        <w:t xml:space="preserve"> </w:t>
      </w:r>
      <w:r>
        <w:t xml:space="preserve">team completed 32 compliance training sessions focused on local banking laws, directly preventing potential revenue loss from regulatory non-compliance.</w:t>
      </w:r>
    </w:p>
    <w:p>
      <w:pPr>
        <w:numPr>
          <w:ilvl w:val="0"/>
          <w:numId w:val="1002"/>
        </w:numPr>
        <w:pStyle w:val="Compact"/>
      </w:pPr>
      <w:r>
        <w:rPr>
          <w:iCs/>
          <w:i/>
        </w:rPr>
        <w:t xml:space="preserve">Cultural Nuance in Client Engagement:</w:t>
      </w:r>
      <w:r>
        <w:t xml:space="preserve"> </w:t>
      </w:r>
      <w:r>
        <w:t xml:space="preserve">Traditional Western sales approaches proved ineffective with Moscow's corporate executives. Our bankers implemented localized relationship-building protocols including formalized "business tea" meetings (a cultural practice for trust-building), resulting in 34% higher deal closure rates among local clients.</w:t>
      </w:r>
    </w:p>
    <w:bookmarkEnd w:id="24"/>
    <w:bookmarkStart w:id="25" w:name="X5abe87c7e812db3d1a9a6bc3d7d10678620e08b"/>
    <w:p>
      <w:pPr>
        <w:pStyle w:val="Heading2"/>
      </w:pPr>
      <w:r>
        <w:t xml:space="preserve">Strategic Recommendations for Future Sales Performance</w:t>
      </w:r>
    </w:p>
    <w:p>
      <w:pPr>
        <w:pStyle w:val="FirstParagraph"/>
      </w:pPr>
      <w:r>
        <w:t xml:space="preserve">Based on this comprehensive sales report, we recommend the following strategic initiatives to further strengthen our position as a leading banking partner in Russia Moscow:</w:t>
      </w:r>
    </w:p>
    <w:p>
      <w:pPr>
        <w:numPr>
          <w:ilvl w:val="0"/>
          <w:numId w:val="1003"/>
        </w:numPr>
        <w:pStyle w:val="Compact"/>
      </w:pPr>
      <w:r>
        <w:rPr>
          <w:bCs/>
          <w:b/>
        </w:rPr>
        <w:t xml:space="preserve">Expand Moscow Digital Banking Suite:</w:t>
      </w:r>
      <w:r>
        <w:t xml:space="preserve"> </w:t>
      </w:r>
      <w:r>
        <w:t xml:space="preserve">Develop a dedicated mobile platform for corporate clients within Russia Moscow, integrating with local payment systems like Mir and MIR. This would address the 68% demand identified in our market analysis.</w:t>
      </w:r>
    </w:p>
    <w:p>
      <w:pPr>
        <w:numPr>
          <w:ilvl w:val="0"/>
          <w:numId w:val="1003"/>
        </w:numPr>
        <w:pStyle w:val="Compact"/>
      </w:pPr>
      <w:r>
        <w:rPr>
          <w:bCs/>
          <w:b/>
        </w:rPr>
        <w:t xml:space="preserve">Launch Russia-Specific Product Bundles:</w:t>
      </w:r>
      <w:r>
        <w:t xml:space="preserve"> </w:t>
      </w:r>
      <w:r>
        <w:t xml:space="preserve">Create bundled credit solutions featuring ruble-denominated loans paired with trade finance services to capitalize on de-dollarization trends, directly responding to Moscow corporate client preferences.</w:t>
      </w:r>
    </w:p>
    <w:p>
      <w:pPr>
        <w:numPr>
          <w:ilvl w:val="0"/>
          <w:numId w:val="1003"/>
        </w:numPr>
        <w:pStyle w:val="Compact"/>
      </w:pPr>
      <w:r>
        <w:rPr>
          <w:bCs/>
          <w:b/>
        </w:rPr>
        <w:t xml:space="preserve">Establish Moscow Client Advisory Council:</w:t>
      </w:r>
      <w:r>
        <w:t xml:space="preserve"> </w:t>
      </w:r>
      <w:r>
        <w:t xml:space="preserve">Form a regular forum for top 20 Moscow-based corporate clients to co-design products, leveraging the</w:t>
      </w:r>
      <w:r>
        <w:t xml:space="preserve"> </w:t>
      </w:r>
      <w:r>
        <w:rPr>
          <w:bCs/>
          <w:b/>
        </w:rPr>
        <w:t xml:space="preserve">Banker</w:t>
      </w:r>
      <w:r>
        <w:t xml:space="preserve">'s deep market relationships for continuous product innovation.</w:t>
      </w:r>
    </w:p>
    <w:bookmarkEnd w:id="25"/>
    <w:bookmarkStart w:id="26" w:name="X9f58ee9a5501fdb2b8ceb64b47dfc26847650b4"/>
    <w:p>
      <w:pPr>
        <w:pStyle w:val="Heading2"/>
      </w:pPr>
      <w:r>
        <w:t xml:space="preserve">Conclusion: The Critical Role of the Moscow Banker</w:t>
      </w:r>
    </w:p>
    <w:p>
      <w:pPr>
        <w:pStyle w:val="FirstParagraph"/>
      </w:pPr>
      <w:r>
        <w:t xml:space="preserve">This Sales Report unequivocally demonstrates that success in Russia Moscow requires banking professionals who transcend traditional financial roles. The modern</w:t>
      </w:r>
      <w:r>
        <w:t xml:space="preserve"> </w:t>
      </w:r>
      <w:r>
        <w:rPr>
          <w:bCs/>
          <w:b/>
        </w:rPr>
        <w:t xml:space="preserve">Banker</w:t>
      </w:r>
      <w:r>
        <w:t xml:space="preserve"> </w:t>
      </w:r>
      <w:r>
        <w:t xml:space="preserve">must operate as a market strategist, cultural diplomat, and regulatory navigator simultaneously. Our Q3-Q4 performance – marked by record revenue growth and client retention rates – validates our approach to developing specialized</w:t>
      </w:r>
      <w:r>
        <w:t xml:space="preserve"> </w:t>
      </w:r>
      <w:r>
        <w:rPr>
          <w:bCs/>
          <w:b/>
        </w:rPr>
        <w:t xml:space="preserve">Banker</w:t>
      </w:r>
      <w:r>
        <w:t xml:space="preserve"> </w:t>
      </w:r>
      <w:r>
        <w:t xml:space="preserve">talent for the Russia Moscow environment.</w:t>
      </w:r>
    </w:p>
    <w:p>
      <w:pPr>
        <w:pStyle w:val="BodyText"/>
      </w:pPr>
      <w:r>
        <w:t xml:space="preserve">The path forward demands continued investment in localized expertise. As we move into 2024, our Moscow-based banker teams must deepen their understanding of regional economic corridors (particularly in energy and manufacturing sectors) while innovating sales methodologies that respect Russia's unique financial landscape. This Sales Report serves as both a testament to current achievements and a foundation for our next phase of growth – where the strategic value of the Moscow</w:t>
      </w:r>
      <w:r>
        <w:t xml:space="preserve"> </w:t>
      </w:r>
      <w:r>
        <w:rPr>
          <w:bCs/>
          <w:b/>
        </w:rPr>
        <w:t xml:space="preserve">Banker</w:t>
      </w:r>
      <w:r>
        <w:t xml:space="preserve"> </w:t>
      </w:r>
      <w:r>
        <w:t xml:space="preserve">becomes our most significant competitive advantage in this critical market.</w:t>
      </w:r>
    </w:p>
    <w:p>
      <w:pPr>
        <w:pStyle w:val="BodyText"/>
      </w:pPr>
      <w:r>
        <w:rPr>
          <w:iCs/>
          <w:i/>
        </w:rPr>
        <w:t xml:space="preserve">Prepared by: International Banking Strategy Division</w:t>
      </w:r>
      <w:r>
        <w:br/>
      </w:r>
      <w:r>
        <w:rPr>
          <w:iCs/>
          <w:i/>
        </w:rPr>
        <w:t xml:space="preserve">Date: October 26, 2023</w:t>
      </w:r>
      <w:r>
        <w:br/>
      </w:r>
      <w:r>
        <w:rPr>
          <w:iCs/>
          <w:i/>
        </w:rPr>
        <w:t xml:space="preserve">Confidential: For Russia Moscow Market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Moscow Banking Performance</dc:title>
  <dc:creator/>
  <dc:language>en</dc:language>
  <cp:keywords/>
  <dcterms:created xsi:type="dcterms:W3CDTF">2026-07-23T22:17:49Z</dcterms:created>
  <dcterms:modified xsi:type="dcterms:W3CDTF">2026-07-23T22:17:49Z</dcterms:modified>
</cp:coreProperties>
</file>

<file path=docProps/custom.xml><?xml version="1.0" encoding="utf-8"?>
<Properties xmlns="http://schemas.openxmlformats.org/officeDocument/2006/custom-properties" xmlns:vt="http://schemas.openxmlformats.org/officeDocument/2006/docPropsVTypes"/>
</file>