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9ff0b3db3d8e0a4dc2c01fb60acc111d6559a6d"/>
    <w:p>
      <w:pPr>
        <w:pStyle w:val="Heading1"/>
      </w:pPr>
      <w:r>
        <w:t xml:space="preserve">Comprehensive Sales Report: Banking Excellence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Senior Sales Banking Division</w:t>
      </w:r>
      <w:r>
        <w:br/>
      </w:r>
      <w:r>
        <w:rPr>
          <w:bCs/>
          <w:b/>
        </w:rPr>
        <w:t xml:space="preserve">Region Covered:</w:t>
      </w:r>
      <w:r>
        <w:t xml:space="preserve"> </w:t>
      </w:r>
      <w:r>
        <w:t xml:space="preserve">Russia Saint Petersburg Metropolitan Area</w:t>
      </w:r>
    </w:p>
    <w:bookmarkStart w:id="20" w:name="i.-executive-summary"/>
    <w:p>
      <w:pPr>
        <w:pStyle w:val="Heading2"/>
      </w:pPr>
      <w:r>
        <w:t xml:space="preserve">I. Executive Summary</w:t>
      </w:r>
    </w:p>
    <w:p>
      <w:pPr>
        <w:pStyle w:val="FirstParagraph"/>
      </w:pPr>
      <w:r>
        <w:t xml:space="preserve">This Sales Report details the exceptional performance of our banking division across Russia Saint Petersburg during Q3 2023. As a premier financial institution operating in one of Russia's most dynamic economic centers, our Banker team achieved unprecedented growth with a 18.7% year-over-year increase in total sales revenue. The report underscores how strategic client acquisition, localized product innovation, and deep market understanding have positioned us as the leading banking partner for both corporate and high-net-worth individuals in Saint Petersburg. This document serves as a critical benchmark for our continued expansion within Russia's second-largest financial hub.</w:t>
      </w:r>
    </w:p>
    <w:bookmarkEnd w:id="20"/>
    <w:bookmarkStart w:id="21" w:name="X788b0e6908c327c20865586264df3a81995cce1"/>
    <w:p>
      <w:pPr>
        <w:pStyle w:val="Heading2"/>
      </w:pPr>
      <w:r>
        <w:t xml:space="preserve">II. Key Sales Metrics: Russia Saint Petersburg Performance</w:t>
      </w:r>
    </w:p>
    <w:p>
      <w:pPr>
        <w:pStyle w:val="FirstParagraph"/>
      </w:pPr>
      <w:r>
        <w:t xml:space="preserve">The Q3 2023 Sales Report confirms remarkable progress across all key performance indicators in Saint Petersburg:</w:t>
      </w:r>
    </w:p>
    <w:p>
      <w:pPr>
        <w:numPr>
          <w:ilvl w:val="0"/>
          <w:numId w:val="1001"/>
        </w:numPr>
        <w:pStyle w:val="Compact"/>
      </w:pPr>
      <w:r>
        <w:rPr>
          <w:bCs/>
          <w:b/>
        </w:rPr>
        <w:t xml:space="preserve">Client Acquisition:</w:t>
      </w:r>
      <w:r>
        <w:t xml:space="preserve"> </w:t>
      </w:r>
      <w:r>
        <w:t xml:space="preserve">147 new corporate accounts (35% above target), including major Petrovskaya Oil and Saint Petersburg International Shipping Consortium</w:t>
      </w:r>
    </w:p>
    <w:p>
      <w:pPr>
        <w:numPr>
          <w:ilvl w:val="0"/>
          <w:numId w:val="1001"/>
        </w:numPr>
        <w:pStyle w:val="Compact"/>
      </w:pPr>
      <w:r>
        <w:rPr>
          <w:bCs/>
          <w:b/>
        </w:rPr>
        <w:t xml:space="preserve">Revenue Growth:</w:t>
      </w:r>
      <w:r>
        <w:t xml:space="preserve"> </w:t>
      </w:r>
      <w:r>
        <w:t xml:space="preserve">Total sales revenue reached ₽284.6M (up 18.7% YoY), driven by 22% increase in premium account openings</w:t>
      </w:r>
    </w:p>
    <w:p>
      <w:pPr>
        <w:numPr>
          <w:ilvl w:val="0"/>
          <w:numId w:val="1001"/>
        </w:numPr>
        <w:pStyle w:val="Compact"/>
      </w:pPr>
      <w:r>
        <w:rPr>
          <w:bCs/>
          <w:b/>
        </w:rPr>
        <w:t xml:space="preserve">Product Penetration:</w:t>
      </w:r>
      <w:r>
        <w:t xml:space="preserve"> </w:t>
      </w:r>
      <w:r>
        <w:t xml:space="preserve">Foreign exchange services grew by 31%, digital banking adoption rose to 79% among new clients</w:t>
      </w:r>
    </w:p>
    <w:p>
      <w:pPr>
        <w:numPr>
          <w:ilvl w:val="0"/>
          <w:numId w:val="1001"/>
        </w:numPr>
        <w:pStyle w:val="Compact"/>
      </w:pPr>
      <w:r>
        <w:rPr>
          <w:bCs/>
          <w:b/>
        </w:rPr>
        <w:t xml:space="preserve">Client Retention:</w:t>
      </w:r>
      <w:r>
        <w:t xml:space="preserve"> </w:t>
      </w:r>
      <w:r>
        <w:t xml:space="preserve">94.3% retention rate for existing corporate clients (exceeding industry benchmark of 88%)</w:t>
      </w:r>
    </w:p>
    <w:p>
      <w:pPr>
        <w:pStyle w:val="FirstParagraph"/>
      </w:pPr>
      <w:r>
        <w:t xml:space="preserve">The Banker team's success in Russia Saint Petersburg stems from hyper-localized engagement—understanding the unique needs of Petrograd's industrial corridors, the Neva River commercial zone, and historic Vasilyevsky Island business districts. Our regional focus enabled us to capture 12.8% market share in corporate banking within Saint Petersburg, a 3.2-point increase from Q2.</w:t>
      </w:r>
    </w:p>
    <w:bookmarkEnd w:id="21"/>
    <w:bookmarkStart w:id="22" w:name="X36337d0d981927f1a811391b641c8fed0063c4e"/>
    <w:p>
      <w:pPr>
        <w:pStyle w:val="Heading2"/>
      </w:pPr>
      <w:r>
        <w:t xml:space="preserve">III. Market Analysis: Banking Landscape in Russia Saint Petersburg</w:t>
      </w:r>
    </w:p>
    <w:p>
      <w:pPr>
        <w:pStyle w:val="FirstParagraph"/>
      </w:pPr>
      <w:r>
        <w:t xml:space="preserve">Saint Petersburg's banking sector presents distinct opportunities and challenges. As Russia's second-largest economy (contributing 11% to national GDP), the city features:</w:t>
      </w:r>
    </w:p>
    <w:p>
      <w:pPr>
        <w:numPr>
          <w:ilvl w:val="0"/>
          <w:numId w:val="1002"/>
        </w:numPr>
        <w:pStyle w:val="Compact"/>
      </w:pPr>
      <w:r>
        <w:rPr>
          <w:bCs/>
          <w:b/>
        </w:rPr>
        <w:t xml:space="preserve">Economic Diversity:</w:t>
      </w:r>
      <w:r>
        <w:t xml:space="preserve"> </w:t>
      </w:r>
      <w:r>
        <w:t xml:space="preserve">Heavyweights in shipbuilding, pharmaceuticals, and luxury retail create high-value client segments</w:t>
      </w:r>
    </w:p>
    <w:p>
      <w:pPr>
        <w:numPr>
          <w:ilvl w:val="0"/>
          <w:numId w:val="1002"/>
        </w:numPr>
        <w:pStyle w:val="Compact"/>
      </w:pPr>
      <w:r>
        <w:rPr>
          <w:bCs/>
          <w:b/>
        </w:rPr>
        <w:t xml:space="preserve">Competitive Pressure:</w:t>
      </w:r>
      <w:r>
        <w:t xml:space="preserve"> </w:t>
      </w:r>
      <w:r>
        <w:t xml:space="preserve">Five major domestic banks and three international players compete fiercely for market share</w:t>
      </w:r>
    </w:p>
    <w:p>
      <w:pPr>
        <w:numPr>
          <w:ilvl w:val="0"/>
          <w:numId w:val="1002"/>
        </w:numPr>
        <w:pStyle w:val="Compact"/>
      </w:pPr>
      <w:r>
        <w:rPr>
          <w:bCs/>
          <w:b/>
        </w:rPr>
        <w:t xml:space="preserve">Regulatory Environment:</w:t>
      </w:r>
      <w:r>
        <w:t xml:space="preserve"> </w:t>
      </w:r>
      <w:r>
        <w:t xml:space="preserve">STRONG compliance requirements under Central Bank of Russia regulations</w:t>
      </w:r>
    </w:p>
    <w:p>
      <w:pPr>
        <w:numPr>
          <w:ilvl w:val="0"/>
          <w:numId w:val="1002"/>
        </w:numPr>
        <w:pStyle w:val="Compact"/>
      </w:pPr>
      <w:r>
        <w:rPr>
          <w:bCs/>
          <w:b/>
        </w:rPr>
        <w:t xml:space="preserve">Cultural Nuances:</w:t>
      </w:r>
      <w:r>
        <w:t xml:space="preserve"> </w:t>
      </w:r>
      <w:r>
        <w:t xml:space="preserve">Preference for relationship-based banking over transactional models (76% of Saint Petersburg businesses prioritize personal banker interactions)</w:t>
      </w:r>
    </w:p>
    <w:p>
      <w:pPr>
        <w:pStyle w:val="FirstParagraph"/>
      </w:pPr>
      <w:r>
        <w:t xml:space="preserve">This Sales Report reveals that 68% of our new corporate clients specifically chose us due to the personalized attention provided by our local Banker team—a critical differentiator in Russia Saint Petersburg where trust is paramount. Our market share gain directly correlates with the Banker's ability to navigate Saint Petersburg's unique business culture, including understanding historical trade relationships along the Neva River and adapting to seasonal economic fluctuations.</w:t>
      </w:r>
    </w:p>
    <w:bookmarkEnd w:id="22"/>
    <w:bookmarkStart w:id="23" w:name="Xc3cb491fcb44dd84e863f2188f8d45e55775de3"/>
    <w:p>
      <w:pPr>
        <w:pStyle w:val="Heading2"/>
      </w:pPr>
      <w:r>
        <w:t xml:space="preserve">IV. Strategic Initiatives Driving Sales Success</w:t>
      </w:r>
    </w:p>
    <w:p>
      <w:pPr>
        <w:pStyle w:val="FirstParagraph"/>
      </w:pPr>
      <w:r>
        <w:t xml:space="preserve">The Sales Report identifies three transformative initiatives implemented by our Banker team in Russia Saint Petersburg:</w:t>
      </w:r>
    </w:p>
    <w:p>
      <w:pPr>
        <w:numPr>
          <w:ilvl w:val="0"/>
          <w:numId w:val="1003"/>
        </w:numPr>
        <w:pStyle w:val="Compact"/>
      </w:pPr>
      <w:r>
        <w:rPr>
          <w:bCs/>
          <w:b/>
        </w:rPr>
        <w:t xml:space="preserve">Neighborhood Banking Model:</w:t>
      </w:r>
      <w:r>
        <w:t xml:space="preserve"> </w:t>
      </w:r>
      <w:r>
        <w:t xml:space="preserve">Deploying 12 dedicated Bankers across key districts (Admiralteysky, Piter, Vasileostrovsky), reducing client response time by 40% and increasing cross-selling success rates</w:t>
      </w:r>
    </w:p>
    <w:p>
      <w:pPr>
        <w:numPr>
          <w:ilvl w:val="0"/>
          <w:numId w:val="1003"/>
        </w:numPr>
        <w:pStyle w:val="Compact"/>
      </w:pPr>
      <w:r>
        <w:rPr>
          <w:bCs/>
          <w:b/>
        </w:rPr>
        <w:t xml:space="preserve">Saint Petersburg Industry Specialization:</w:t>
      </w:r>
      <w:r>
        <w:t xml:space="preserve"> </w:t>
      </w:r>
      <w:r>
        <w:t xml:space="preserve">Developing tailored financial solutions for shipyards (e.g., vessel financing programs) and tech startups (accelerator partnership with SPb State University)</w:t>
      </w:r>
    </w:p>
    <w:p>
      <w:pPr>
        <w:numPr>
          <w:ilvl w:val="0"/>
          <w:numId w:val="1003"/>
        </w:numPr>
        <w:pStyle w:val="Compact"/>
      </w:pPr>
      <w:r>
        <w:rPr>
          <w:bCs/>
          <w:b/>
        </w:rPr>
        <w:t xml:space="preserve">Digital Integration Suite:</w:t>
      </w:r>
      <w:r>
        <w:t xml:space="preserve"> </w:t>
      </w:r>
      <w:r>
        <w:t xml:space="preserve">Launching the "Neva Connect" platform—fully localized Russian interface with Saint Petersburg-specific features like harbor access fees calculator</w:t>
      </w:r>
    </w:p>
    <w:p>
      <w:pPr>
        <w:pStyle w:val="FirstParagraph"/>
      </w:pPr>
      <w:r>
        <w:t xml:space="preserve">These strategies directly address Russia Saint Petersburg's market needs, as evidenced by our 52% increase in service uptake among Petrograd-based manufacturing firms. The Banker team's quarterly client satisfaction score reached 91.4%, a record high for the region.</w:t>
      </w:r>
    </w:p>
    <w:bookmarkEnd w:id="23"/>
    <w:bookmarkStart w:id="24" w:name="v.-challenges-and-adaptive-solutions"/>
    <w:p>
      <w:pPr>
        <w:pStyle w:val="Heading2"/>
      </w:pPr>
      <w:r>
        <w:t xml:space="preserve">V. Challenges and Adaptive Solutions</w:t>
      </w:r>
    </w:p>
    <w:p>
      <w:pPr>
        <w:pStyle w:val="FirstParagraph"/>
      </w:pPr>
      <w:r>
        <w:t xml:space="preserve">As documented in this Sales Report, we faced significant hurdles during Q3:</w:t>
      </w:r>
    </w:p>
    <w:p>
      <w:pPr>
        <w:numPr>
          <w:ilvl w:val="0"/>
          <w:numId w:val="1004"/>
        </w:numPr>
        <w:pStyle w:val="Compact"/>
      </w:pPr>
      <w:r>
        <w:rPr>
          <w:bCs/>
          <w:b/>
        </w:rPr>
        <w:t xml:space="preserve">Geopolitical Volatility:</w:t>
      </w:r>
      <w:r>
        <w:t xml:space="preserve"> </w:t>
      </w:r>
      <w:r>
        <w:t xml:space="preserve">Sanctions created liquidity challenges; Bankers implemented contingency financing structures for 47 active clients</w:t>
      </w:r>
    </w:p>
    <w:p>
      <w:pPr>
        <w:numPr>
          <w:ilvl w:val="0"/>
          <w:numId w:val="1004"/>
        </w:numPr>
        <w:pStyle w:val="Compact"/>
      </w:pPr>
      <w:r>
        <w:rPr>
          <w:bCs/>
          <w:b/>
        </w:rPr>
        <w:t xml:space="preserve">Talent Retention:</w:t>
      </w:r>
      <w:r>
        <w:t xml:space="preserve"> </w:t>
      </w:r>
      <w:r>
        <w:t xml:space="preserve">High demand for banking professionals in Saint Petersburg; resolved through localized career pathways and competitive bonuses</w:t>
      </w:r>
    </w:p>
    <w:p>
      <w:pPr>
        <w:numPr>
          <w:ilvl w:val="0"/>
          <w:numId w:val="1004"/>
        </w:numPr>
        <w:pStyle w:val="Compact"/>
      </w:pPr>
      <w:r>
        <w:rPr>
          <w:bCs/>
          <w:b/>
        </w:rPr>
        <w:t xml:space="preserve">Currency Fluctuations:</w:t>
      </w:r>
      <w:r>
        <w:t xml:space="preserve"> </w:t>
      </w:r>
      <w:r>
        <w:t xml:space="preserve">Developed dynamic FX hedging packages specifically for Russian export businesses (adopted by 83% of new clients)</w:t>
      </w:r>
    </w:p>
    <w:p>
      <w:pPr>
        <w:pStyle w:val="FirstParagraph"/>
      </w:pPr>
      <w:r>
        <w:t xml:space="preserve">The Banker team's crisis management—particularly during the September currency volatility period—was pivotal. By proactively offering interest rate locks to Saint Petersburg manufacturers, we secured 15 new long-term contracts worth ₽72M.</w:t>
      </w:r>
    </w:p>
    <w:bookmarkEnd w:id="24"/>
    <w:bookmarkStart w:id="25" w:name="X3b8b7e85f48992fdbae515c5cc960355fbf987e"/>
    <w:p>
      <w:pPr>
        <w:pStyle w:val="Heading2"/>
      </w:pPr>
      <w:r>
        <w:t xml:space="preserve">VI. Future Outlook: Sales Roadmap for Russia Saint Petersburg</w:t>
      </w:r>
    </w:p>
    <w:p>
      <w:pPr>
        <w:pStyle w:val="FirstParagraph"/>
      </w:pPr>
      <w:r>
        <w:t xml:space="preserve">This Sales Report concludes with an aggressive growth plan for our Banker operations in Russia Saint Petersburg:</w:t>
      </w:r>
    </w:p>
    <w:p>
      <w:pPr>
        <w:numPr>
          <w:ilvl w:val="0"/>
          <w:numId w:val="1005"/>
        </w:numPr>
        <w:pStyle w:val="Compact"/>
      </w:pPr>
      <w:r>
        <w:rPr>
          <w:bCs/>
          <w:b/>
        </w:rPr>
        <w:t xml:space="preserve">Q4 Target:</w:t>
      </w:r>
      <w:r>
        <w:t xml:space="preserve"> </w:t>
      </w:r>
      <w:r>
        <w:t xml:space="preserve">Achieve 25% market share in corporate banking (up from 12.8%)</w:t>
      </w:r>
    </w:p>
    <w:p>
      <w:pPr>
        <w:numPr>
          <w:ilvl w:val="0"/>
          <w:numId w:val="1005"/>
        </w:numPr>
        <w:pStyle w:val="Compact"/>
      </w:pPr>
      <w:r>
        <w:rPr>
          <w:bCs/>
          <w:b/>
        </w:rPr>
        <w:t xml:space="preserve">New Product Launch:</w:t>
      </w:r>
      <w:r>
        <w:t xml:space="preserve"> </w:t>
      </w:r>
      <w:r>
        <w:t xml:space="preserve">"Saint Petersburg Trade Bridge" credit facility for Baltic Sea logistics firms (December rollout)</w:t>
      </w:r>
    </w:p>
    <w:p>
      <w:pPr>
        <w:numPr>
          <w:ilvl w:val="0"/>
          <w:numId w:val="1005"/>
        </w:numPr>
        <w:pStyle w:val="Compact"/>
      </w:pPr>
      <w:r>
        <w:rPr>
          <w:bCs/>
          <w:b/>
        </w:rPr>
        <w:t xml:space="preserve">Talent Expansion:</w:t>
      </w:r>
      <w:r>
        <w:t xml:space="preserve"> </w:t>
      </w:r>
      <w:r>
        <w:t xml:space="preserve">Hire 15 additional Bankers focused exclusively on Saint Petersburg's emerging tech sector</w:t>
      </w:r>
    </w:p>
    <w:p>
      <w:pPr>
        <w:numPr>
          <w:ilvl w:val="0"/>
          <w:numId w:val="1005"/>
        </w:numPr>
        <w:pStyle w:val="Compact"/>
      </w:pPr>
      <w:r>
        <w:rPr>
          <w:bCs/>
          <w:b/>
        </w:rPr>
        <w:t xml:space="preserve">Sustainability Initiative:</w:t>
      </w:r>
      <w:r>
        <w:t xml:space="preserve"> </w:t>
      </w:r>
      <w:r>
        <w:t xml:space="preserve">Carbon-neutral financing program for Petrograd's green energy transition projects</w:t>
      </w:r>
    </w:p>
    <w:p>
      <w:pPr>
        <w:pStyle w:val="FirstParagraph"/>
      </w:pPr>
      <w:r>
        <w:t xml:space="preserve">We project a 22% revenue increase for Q4 based on pipeline strength. The Banker team will leverage Saint Petersburg's role as Russia's innovation capital—hosting over 300 tech startups—to drive growth in digital banking services.</w:t>
      </w:r>
    </w:p>
    <w:bookmarkEnd w:id="25"/>
    <w:bookmarkStart w:id="26" w:name="vii.-conclusion"/>
    <w:p>
      <w:pPr>
        <w:pStyle w:val="Heading2"/>
      </w:pPr>
      <w:r>
        <w:t xml:space="preserve">VII. Conclusion</w:t>
      </w:r>
    </w:p>
    <w:p>
      <w:pPr>
        <w:pStyle w:val="FirstParagraph"/>
      </w:pPr>
      <w:r>
        <w:t xml:space="preserve">This comprehensive Sales Report affirms that our Banker-led strategy has established an unassailable presence in Russia Saint Petersburg. The region's complex economic landscape—characterized by historical trade significance and modern industrial innovation—demands specialized banking expertise, which our local team delivers with exceptional results. As the premier financial partner for Saint Petersburg's most influential businesses, we have transformed our Banker operations into a competitive engine that consistently outperforms regional benchmarks.</w:t>
      </w:r>
    </w:p>
    <w:p>
      <w:pPr>
        <w:pStyle w:val="BodyText"/>
      </w:pPr>
      <w:r>
        <w:t xml:space="preserve">Crucially, this Sales Report demonstrates that success in Russia Saint Petersburg is not about generic banking solutions—it requires deep cultural understanding, localized strategy execution, and the personal commitment of dedicated Bankers. Our Q3 results prove that when banking expertise meets Saint Petersburg's unique market dynamics, extraordinary sales performance follows. We remain committed to expanding our leadership position while reinforcing the trust-based relationships that define our success in Russia's most sophisticated financial hub.</w:t>
      </w:r>
    </w:p>
    <w:p>
      <w:pPr>
        <w:pStyle w:val="BodyText"/>
      </w:pPr>
      <w:r>
        <w:rPr>
          <w:bCs/>
          <w:b/>
        </w:rPr>
        <w:t xml:space="preserve">Final Note:</w:t>
      </w:r>
      <w:r>
        <w:t xml:space="preserve"> </w:t>
      </w:r>
      <w:r>
        <w:t xml:space="preserve">All metrics and strategies documented in this Sales Report reflect real-time data from our Saint Petersburg operations and are directly actionable for future growth. The Banker team's performance underscores why Russia Saint Petersburg remains a cornerstone of our national expansion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Saint Petersburg, Russia</dc:title>
  <dc:creator/>
  <dc:language>en</dc:language>
  <cp:keywords/>
  <dcterms:created xsi:type="dcterms:W3CDTF">2026-07-24T15:43:46Z</dcterms:created>
  <dcterms:modified xsi:type="dcterms:W3CDTF">2026-07-24T15:43:46Z</dcterms:modified>
</cp:coreProperties>
</file>

<file path=docProps/custom.xml><?xml version="1.0" encoding="utf-8"?>
<Properties xmlns="http://schemas.openxmlformats.org/officeDocument/2006/custom-properties" xmlns:vt="http://schemas.openxmlformats.org/officeDocument/2006/docPropsVTypes"/>
</file>