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Performance</w:t>
      </w:r>
      <w:r>
        <w:t xml:space="preserve"> </w:t>
      </w:r>
      <w:r>
        <w:t xml:space="preserve">Analysis</w:t>
      </w:r>
      <w:r>
        <w:t xml:space="preserve"> </w:t>
      </w:r>
      <w:r>
        <w:t xml:space="preserve">for</w:t>
      </w:r>
      <w:r>
        <w:t xml:space="preserve"> </w:t>
      </w:r>
      <w:r>
        <w:t xml:space="preserve">Banker</w:t>
      </w:r>
      <w:r>
        <w:t xml:space="preserve"> </w:t>
      </w:r>
      <w:r>
        <w:t xml:space="preserve">Operations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428d5e3d2bb09a250d4c443fa5470bbb5ba2ca"/>
    <w:p>
      <w:pPr>
        <w:pStyle w:val="Heading1"/>
      </w:pPr>
      <w:r>
        <w:t xml:space="preserve">Sales Report: Strategic Performance Analysis for Banker Operations in Saudi Arabia Jeddah</w:t>
      </w:r>
    </w:p>
    <w:bookmarkStart w:id="27" w:name="X27ab4ff9d6fd711ff3ab964e5330465910486b3"/>
    <w:p>
      <w:pPr>
        <w:pStyle w:val="Heading2"/>
      </w:pPr>
      <w:r>
        <w:t xml:space="preserve">Prepared For: Executive Leadership &amp; Sales Department, Banking Division</w:t>
      </w:r>
    </w:p>
    <w:p>
      <w:pPr>
        <w:pStyle w:val="FirstParagraph"/>
      </w:pPr>
      <w:r>
        <w:t xml:space="preserve">Date: October 26, 2023 | Period Covered: July 1 - September 30, 2023 | Prepared By: Jeddah Regional Sales Team</w:t>
      </w:r>
    </w:p>
    <w:bookmarkStart w:id="20" w:name="executive-summary"/>
    <w:p>
      <w:pPr>
        <w:pStyle w:val="Heading3"/>
      </w:pPr>
      <w:r>
        <w:t xml:space="preserve">Executive Summary</w:t>
      </w:r>
    </w:p>
    <w:p>
      <w:pPr>
        <w:pStyle w:val="FirstParagraph"/>
      </w:pPr>
      <w:r>
        <w:t xml:space="preserve">This comprehensive Sales Report details the strategic performance of our banking operations within Saudi Arabia Jeddah during Q3 2023. As a premier Banker serving the dynamic financial landscape of Jeddah, our team achieved 108% of quarterly sales targets through targeted customer acquisition, product innovation, and deep-rooted community engagement. This document underscores how our commitment to understanding the unique economic fabric of Saudi Arabia Jeddah has positioned us as a trusted partner for both individual clients and corporate entities in the region.</w:t>
      </w:r>
    </w:p>
    <w:bookmarkEnd w:id="20"/>
    <w:bookmarkStart w:id="21" w:name="X319ad539b7054ee4a905d2bf55d60e8fe6d9150"/>
    <w:p>
      <w:pPr>
        <w:pStyle w:val="Heading3"/>
      </w:pPr>
      <w:r>
        <w:t xml:space="preserve">1. Current Sales Performance: Jeddah Market Dynamics</w:t>
      </w:r>
    </w:p>
    <w:p>
      <w:pPr>
        <w:pStyle w:val="FirstParagraph"/>
      </w:pPr>
      <w:r>
        <w:t xml:space="preserve">Our Q3 2023 sales performance in Saudi Arabia Jeddah reflects exceptional growth across all key metrics. The Banker team successfully onboarded 478 new corporate accounts—surpassing the target by 18%—primarily from Jeddah's thriving hospitality, logistics, and retail sectors. Retail banking saw a remarkable 32% increase in premium account openings, driven by demand for Sharia-compliant digital banking solutions. Notably, loan disbursements reached SAR 1.85 billion (up 41% YoY), with commercial real estate financing accounting for 65% of new business—a direct response to Jeddah's ongoing infrastructure development under Vision 2030.</w:t>
      </w:r>
    </w:p>
    <w:p>
      <w:pPr>
        <w:pStyle w:val="BodyText"/>
      </w:pPr>
      <w:r>
        <w:t xml:space="preserve">Key achievements include:</w:t>
      </w:r>
    </w:p>
    <w:p>
      <w:pPr>
        <w:numPr>
          <w:ilvl w:val="0"/>
          <w:numId w:val="1001"/>
        </w:numPr>
        <w:pStyle w:val="Compact"/>
      </w:pPr>
      <w:r>
        <w:t xml:space="preserve">Secured a landmark partnership with Red Sea Global for their Jeddah Corniche development project (SAR 450M financing package)</w:t>
      </w:r>
    </w:p>
    <w:p>
      <w:pPr>
        <w:numPr>
          <w:ilvl w:val="0"/>
          <w:numId w:val="1001"/>
        </w:numPr>
        <w:pStyle w:val="Compact"/>
      </w:pPr>
      <w:r>
        <w:t xml:space="preserve">Launched "Jeddah Growth Suite" product line, contributing to 27% of all new business in Q3</w:t>
      </w:r>
    </w:p>
    <w:p>
      <w:pPr>
        <w:numPr>
          <w:ilvl w:val="0"/>
          <w:numId w:val="1001"/>
        </w:numPr>
        <w:pStyle w:val="Compact"/>
      </w:pPr>
      <w:r>
        <w:t xml:space="preserve">19% increase in cross-selling success rate across wealth management and investment products</w:t>
      </w:r>
    </w:p>
    <w:bookmarkEnd w:id="21"/>
    <w:bookmarkStart w:id="22" w:name="X239e18b57d5e19d3fbe83ccaf42f1080de71afa"/>
    <w:p>
      <w:pPr>
        <w:pStyle w:val="Heading3"/>
      </w:pPr>
      <w:r>
        <w:t xml:space="preserve">2. Market Analysis: Why Jeddah Demands a Specialized Banker Approach</w:t>
      </w:r>
    </w:p>
    <w:p>
      <w:pPr>
        <w:pStyle w:val="FirstParagraph"/>
      </w:pPr>
      <w:r>
        <w:t xml:space="preserve">Saudi Arabia Jeddah operates as the commercial heart of the Kingdom outside Riyadh, with 45% of all foreign investment in Western Saudi Arabia flowing through our branch network. Our Sales Report analysis confirms that a one-size-fits-all banking strategy fails in this market. Jeddah's unique characteristics demand a Banker who understands:</w:t>
      </w:r>
    </w:p>
    <w:p>
      <w:pPr>
        <w:numPr>
          <w:ilvl w:val="0"/>
          <w:numId w:val="1002"/>
        </w:numPr>
        <w:pStyle w:val="Compact"/>
      </w:pPr>
      <w:r>
        <w:rPr>
          <w:bCs/>
          <w:b/>
        </w:rPr>
        <w:t xml:space="preserve">Local Economic Pulse:</w:t>
      </w:r>
      <w:r>
        <w:t xml:space="preserve"> </w:t>
      </w:r>
      <w:r>
        <w:t xml:space="preserve">68% of Jeddah's GDP derives from trade, tourism, and logistics—requiring tailored credit solutions for port operators and hotel chains</w:t>
      </w:r>
    </w:p>
    <w:p>
      <w:pPr>
        <w:numPr>
          <w:ilvl w:val="0"/>
          <w:numId w:val="1002"/>
        </w:numPr>
        <w:pStyle w:val="Compact"/>
      </w:pPr>
      <w:r>
        <w:rPr>
          <w:bCs/>
          <w:b/>
        </w:rPr>
        <w:t xml:space="preserve">Cultural Nuances:</w:t>
      </w:r>
      <w:r>
        <w:t xml:space="preserve"> </w:t>
      </w:r>
      <w:r>
        <w:t xml:space="preserve">Family-owned businesses dominate (73% of SMEs), necessitating relationship-focused sales approaches over transactional banking</w:t>
      </w:r>
    </w:p>
    <w:p>
      <w:pPr>
        <w:numPr>
          <w:ilvl w:val="0"/>
          <w:numId w:val="1002"/>
        </w:numPr>
        <w:pStyle w:val="Compact"/>
      </w:pPr>
      <w:r>
        <w:rPr>
          <w:bCs/>
          <w:b/>
        </w:rPr>
        <w:t xml:space="preserve">Vision 2030 Alignment:</w:t>
      </w:r>
      <w:r>
        <w:t xml:space="preserve"> </w:t>
      </w:r>
      <w:r>
        <w:t xml:space="preserve">Clients actively seek Banker partners supporting Red Sea Project, NEOM connections, and tourism infrastructure—our sales team leveraged this in 89% of corporate engagements</w:t>
      </w:r>
    </w:p>
    <w:p>
      <w:pPr>
        <w:pStyle w:val="FirstParagraph"/>
      </w:pPr>
      <w:r>
        <w:t xml:space="preserve">The Sales Report further reveals that Jeddah's digital banking adoption rate (67%) now exceeds Riyadh (62%), making our mobile-first product suite a key differentiator. Our Banker team capitalized on this by training 100% of sales representatives in Arabic-English fintech solutions during Q3.</w:t>
      </w:r>
    </w:p>
    <w:bookmarkEnd w:id="22"/>
    <w:bookmarkStart w:id="23" w:name="Xe19c9e23b14aab5d8c159a18b84e32d4a98e124"/>
    <w:p>
      <w:pPr>
        <w:pStyle w:val="Heading3"/>
      </w:pPr>
      <w:r>
        <w:t xml:space="preserve">3. Strategic Challenges &amp; Banker Response in Saudi Arabia Jeddah</w:t>
      </w:r>
    </w:p>
    <w:p>
      <w:pPr>
        <w:pStyle w:val="FirstParagraph"/>
      </w:pPr>
      <w:r>
        <w:t xml:space="preserve">Our Sales Report identifies three critical challenges unique to operating as a Banker in Jeddah:</w:t>
      </w:r>
    </w:p>
    <w:p>
      <w:pPr>
        <w:numPr>
          <w:ilvl w:val="0"/>
          <w:numId w:val="1003"/>
        </w:numPr>
        <w:pStyle w:val="Compact"/>
      </w:pPr>
      <w:r>
        <w:rPr>
          <w:bCs/>
          <w:b/>
        </w:rPr>
        <w:t xml:space="preserve">Intense Local Competition:</w:t>
      </w:r>
      <w:r>
        <w:t xml:space="preserve"> </w:t>
      </w:r>
      <w:r>
        <w:t xml:space="preserve">5 new regional banks entered the Jeddah market this year. Our response: Implemented "Jeddah Advantage" sales framework featuring hyper-localized client journey mapping, resulting in 22% higher conversion rates versus competitors.</w:t>
      </w:r>
    </w:p>
    <w:p>
      <w:pPr>
        <w:numPr>
          <w:ilvl w:val="0"/>
          <w:numId w:val="1003"/>
        </w:numPr>
        <w:pStyle w:val="Compact"/>
      </w:pPr>
      <w:r>
        <w:rPr>
          <w:bCs/>
          <w:b/>
        </w:rPr>
        <w:t xml:space="preserve">Regulatory Evolution:</w:t>
      </w:r>
      <w:r>
        <w:t xml:space="preserve"> </w:t>
      </w:r>
      <w:r>
        <w:t xml:space="preserve">SAMA's new digital banking guidelines (effective Q3 2023). Our Banker team preempted this with dedicated compliance training for all sales staff, ensuring zero regulatory delays in client onboarding.</w:t>
      </w:r>
    </w:p>
    <w:p>
      <w:pPr>
        <w:numPr>
          <w:ilvl w:val="0"/>
          <w:numId w:val="1003"/>
        </w:numPr>
        <w:pStyle w:val="Compact"/>
      </w:pPr>
      <w:r>
        <w:rPr>
          <w:bCs/>
          <w:b/>
        </w:rPr>
        <w:t xml:space="preserve">Cultural Trust Gap:</w:t>
      </w:r>
      <w:r>
        <w:t xml:space="preserve"> </w:t>
      </w:r>
      <w:r>
        <w:t xml:space="preserve">Initial hesitation from traditional businesses. The solution: Partnered with Jeddah Chamber of Commerce for "Trust Through Transparency" workshops—attended by 217 SME leaders—directly generating 38 new enterprise accounts.</w:t>
      </w:r>
    </w:p>
    <w:bookmarkEnd w:id="23"/>
    <w:bookmarkStart w:id="24" w:name="X14c58508400effd4e70947d952c6dac773e61ba"/>
    <w:p>
      <w:pPr>
        <w:pStyle w:val="Heading3"/>
      </w:pPr>
      <w:r>
        <w:t xml:space="preserve">4. Future Strategy: Elevating the Banker Brand in Saudi Arabia Jeddah</w:t>
      </w:r>
    </w:p>
    <w:p>
      <w:pPr>
        <w:pStyle w:val="FirstParagraph"/>
      </w:pPr>
      <w:r>
        <w:t xml:space="preserve">Based on this Sales Report, we recommend three strategic initiatives for the Banker team to dominate Jeddah's market:</w:t>
      </w:r>
    </w:p>
    <w:p>
      <w:pPr>
        <w:numPr>
          <w:ilvl w:val="0"/>
          <w:numId w:val="1004"/>
        </w:numPr>
        <w:pStyle w:val="Compact"/>
      </w:pPr>
      <w:r>
        <w:rPr>
          <w:bCs/>
          <w:b/>
        </w:rPr>
        <w:t xml:space="preserve">Jeddah Growth Catalyst Program:</w:t>
      </w:r>
      <w:r>
        <w:t xml:space="preserve"> </w:t>
      </w:r>
      <w:r>
        <w:t xml:space="preserve">Dedicated sales squad for Vision 2030 projects (e.g., Red Sea Global, King Abdullah Financial District). This positions us as the Banker of choice for national transformation.</w:t>
      </w:r>
    </w:p>
    <w:p>
      <w:pPr>
        <w:numPr>
          <w:ilvl w:val="0"/>
          <w:numId w:val="1004"/>
        </w:numPr>
        <w:pStyle w:val="Compact"/>
      </w:pPr>
      <w:r>
        <w:rPr>
          <w:bCs/>
          <w:b/>
        </w:rPr>
        <w:t xml:space="preserve">Hyper-Local Digital Transformation:</w:t>
      </w:r>
      <w:r>
        <w:t xml:space="preserve"> </w:t>
      </w:r>
      <w:r>
        <w:t xml:space="preserve">Develop Jeddah-specific features in our mobile app—like Hajj-related financial tools and Arabic dialect support—to address unmet client needs identified through 1,200+ Jeddah client interviews.</w:t>
      </w:r>
    </w:p>
    <w:p>
      <w:pPr>
        <w:numPr>
          <w:ilvl w:val="0"/>
          <w:numId w:val="1004"/>
        </w:numPr>
        <w:pStyle w:val="Compact"/>
      </w:pPr>
      <w:r>
        <w:rPr>
          <w:bCs/>
          <w:b/>
        </w:rPr>
        <w:t xml:space="preserve">Community-Centric Sales Culture:</w:t>
      </w:r>
      <w:r>
        <w:t xml:space="preserve"> </w:t>
      </w:r>
      <w:r>
        <w:t xml:space="preserve">Embed "Jeddah Heart" initiative where Banker staff volunteer with local charities (e.g., Al-Balgha Foundation). This builds organic trust, directly contributing to 15% higher client retention.</w:t>
      </w:r>
    </w:p>
    <w:bookmarkEnd w:id="24"/>
    <w:bookmarkStart w:id="25" w:name="performance-metrics-the-jeddah-benchmark"/>
    <w:p>
      <w:pPr>
        <w:pStyle w:val="Heading3"/>
      </w:pPr>
      <w:r>
        <w:t xml:space="preserve">5. Performance Metrics: The Jeddah Benchmark</w:t>
      </w:r>
    </w:p>
    <w:p>
      <w:pPr>
        <w:pStyle w:val="FirstParagraph"/>
      </w:pPr>
      <w:r>
        <w:t xml:space="preserve">The following table demonstrates our Banker team's outperformance against regional and national benchmarks in Saudi Arabia: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Jeddah Team (Q3 2023)</w:t>
            </w:r>
          </w:p>
        </w:tc>
        <w:tc>
          <w:tcPr/>
          <w:p>
            <w:pPr>
              <w:pStyle w:val="Compact"/>
              <w:jc w:val="left"/>
            </w:pPr>
            <w:r>
              <w:t xml:space="preserve">Regional Avg. (KSA)</w:t>
            </w:r>
          </w:p>
        </w:tc>
        <w:tc>
          <w:tcPr/>
          <w:p>
            <w:pPr>
              <w:pStyle w:val="Compact"/>
              <w:jc w:val="left"/>
            </w:pPr>
            <w:r>
              <w:t xml:space="preserve">National Target</w:t>
            </w:r>
          </w:p>
        </w:tc>
      </w:tr>
      <w:tr>
        <w:tc>
          <w:tcPr/>
          <w:p>
            <w:pPr>
              <w:pStyle w:val="Compact"/>
              <w:jc w:val="left"/>
            </w:pPr>
            <w:r>
              <w:t xml:space="preserve">New Corporate Accounts</w:t>
            </w:r>
          </w:p>
        </w:tc>
        <w:tc>
          <w:tcPr/>
          <w:p>
            <w:pPr>
              <w:pStyle w:val="Compact"/>
              <w:jc w:val="left"/>
            </w:pPr>
            <w:r>
              <w:t xml:space="preserve">478</w:t>
            </w:r>
          </w:p>
        </w:tc>
        <w:tc>
          <w:tcPr/>
          <w:p>
            <w:pPr>
              <w:pStyle w:val="Compact"/>
              <w:jc w:val="left"/>
            </w:pPr>
            <w:r>
              <w:t xml:space="preserve">295</w:t>
            </w:r>
          </w:p>
        </w:tc>
        <w:tc>
          <w:tcPr/>
          <w:p>
            <w:pPr>
              <w:pStyle w:val="Compact"/>
              <w:jc w:val="left"/>
            </w:pPr>
            <w:r>
              <w:t xml:space="preserve">400</w:t>
            </w:r>
          </w:p>
        </w:tc>
      </w:tr>
      <w:tr>
        <w:tc>
          <w:tcPr>
            <w:gridSpan w:val="2"/>
          </w:tcPr>
          <w:p>
            <w:pPr>
              <w:pStyle w:val="Compact"/>
              <w:jc w:val="left"/>
            </w:pPr>
            <w:r>
              <w:t xml:space="preserve">Jeddah Performance Advantage:</w:t>
            </w:r>
          </w:p>
        </w:tc>
        <w:tc>
          <w:tcPr/>
          <w:p>
            <w:pPr>
              <w:pStyle w:val="Compact"/>
              <w:jc w:val="center"/>
            </w:pPr>
            <w:r>
              <w:t xml:space="preserve">+62%</w:t>
            </w:r>
          </w:p>
        </w:tc>
        <w:tc>
          <w:tcPr/>
          <w:p>
            <w:pPr>
              <w:pStyle w:val="Compact"/>
            </w:pPr>
          </w:p>
        </w:tc>
      </w:tr>
    </w:tbl>
    <w:bookmarkEnd w:id="25"/>
    <w:bookmarkStart w:id="26" w:name="Xe7e80500dd8cf2bc5d8edc76e8b993b34a5161b"/>
    <w:p>
      <w:pPr>
        <w:pStyle w:val="Heading3"/>
      </w:pPr>
      <w:r>
        <w:t xml:space="preserve">Conclusion: The Banker as Jeddah's Financial Partner</w:t>
      </w:r>
    </w:p>
    <w:p>
      <w:pPr>
        <w:pStyle w:val="FirstParagraph"/>
      </w:pPr>
      <w:r>
        <w:t xml:space="preserve">This Sales Report conclusively demonstrates that our success in Saudi Arabia Jeddah stems from treating every client interaction as an opportunity to embody the Banker ethos—combining global banking standards with profound local understanding. While national competitors focus on transaction volume, our Banker team has cultivated strategic relationships across Jeddah's economic ecosystem, from Old City merchants to NEOM partners.</w:t>
      </w:r>
    </w:p>
    <w:p>
      <w:pPr>
        <w:pStyle w:val="BodyText"/>
      </w:pPr>
      <w:r>
        <w:t xml:space="preserve">The data is unequivocal: For a Banker operating in Saudi Arabia Jeddah, growth isn't merely about numbers—it's about becoming an indispensable part of the city's transformation. Our Q3 results prove that when sales strategies align with Vision 2030 and respect Jeddah's cultural heartbeat, the Banker becomes more than a service provider; we become a catalyst for shared prosperity. We project 15% revenue growth in Q4 through our targeted Jeddah Growth Catalyst Program, reinforcing that this Sales Report isn't just documentation—it's the blueprint for sustained market leadership.</w:t>
      </w:r>
    </w:p>
    <w:p>
      <w:pPr>
        <w:pStyle w:val="BodyText"/>
      </w:pPr>
      <w:r>
        <w:rPr>
          <w:bCs/>
          <w:b/>
        </w:rPr>
        <w:t xml:space="preserve">Prepared with Strategic Insight for Saudi Arabia's Most Dynamic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Performance Analysis for Banker Operations in Saudi Arabia Jeddah</dc:title>
  <dc:creator/>
  <dc:language>en</dc:language>
  <cp:keywords/>
  <dcterms:created xsi:type="dcterms:W3CDTF">2026-07-24T06:06:08Z</dcterms:created>
  <dcterms:modified xsi:type="dcterms:W3CDTF">2026-07-24T06:06:08Z</dcterms:modified>
</cp:coreProperties>
</file>

<file path=docProps/custom.xml><?xml version="1.0" encoding="utf-8"?>
<Properties xmlns="http://schemas.openxmlformats.org/officeDocument/2006/custom-properties" xmlns:vt="http://schemas.openxmlformats.org/officeDocument/2006/docPropsVTypes"/>
</file>