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Banking</w:t>
      </w:r>
      <w:r>
        <w:t xml:space="preserve"> </w:t>
      </w:r>
      <w:r>
        <w:t xml:space="preserve">Performance</w:t>
      </w:r>
      <w:r>
        <w:t xml:space="preserve"> </w:t>
      </w:r>
      <w:r>
        <w:t xml:space="preserve">Analysis</w:t>
      </w:r>
      <w:r>
        <w:t xml:space="preserve"> </w:t>
      </w:r>
      <w:r>
        <w:t xml:space="preserve">-</w:t>
      </w:r>
      <w:r>
        <w:t xml:space="preserve"> </w:t>
      </w:r>
      <w:r>
        <w:t xml:space="preserve">Riyadh,</w:t>
      </w:r>
      <w:r>
        <w:t xml:space="preserve"> </w:t>
      </w:r>
      <w:r>
        <w:t xml:space="preserve">Saudi</w:t>
      </w:r>
      <w:r>
        <w:t xml:space="preserve"> </w:t>
      </w:r>
      <w:r>
        <w:t xml:space="preserve">Arabia</w:t>
      </w:r>
    </w:p>
    <w:bookmarkStart w:id="29" w:name="X93853bd05a897f776f24330c9d9752f89e06bc7"/>
    <w:p>
      <w:pPr>
        <w:pStyle w:val="Heading1"/>
      </w:pPr>
      <w:r>
        <w:t xml:space="preserve">Quarterly Sales Report for Banking Services in Riyadh, Saudi Arabia</w:t>
      </w:r>
    </w:p>
    <w:bookmarkStart w:id="28" w:name="Xc7efaddaf9aae66c22706ef53c2b31bb3dbe8b2"/>
    <w:p>
      <w:pPr>
        <w:pStyle w:val="Heading2"/>
      </w:pPr>
      <w:r>
        <w:t xml:space="preserve">Prepared For: Senior Management &amp; Strategic Stakeholders</w:t>
      </w:r>
    </w:p>
    <w:p>
      <w:pPr>
        <w:pStyle w:val="FirstParagraph"/>
      </w:pPr>
      <w:r>
        <w:rPr>
          <w:bCs/>
          <w:b/>
        </w:rPr>
        <w:t xml:space="preserve">Date:</w:t>
      </w:r>
      <w:r>
        <w:t xml:space="preserve"> </w:t>
      </w:r>
      <w:r>
        <w:t xml:space="preserve">October 26, 2023 |</w:t>
      </w:r>
      <w:r>
        <w:t xml:space="preserve"> </w:t>
      </w:r>
      <w:r>
        <w:rPr>
          <w:bCs/>
          <w:b/>
        </w:rPr>
        <w:t xml:space="preserve">Prepared By:</w:t>
      </w:r>
      <w:r>
        <w:t xml:space="preserve"> </w:t>
      </w:r>
      <w:r>
        <w:t xml:space="preserve">[Banker Name/Department]</w:t>
      </w:r>
    </w:p>
    <w:p>
      <w:r>
        <w:pict>
          <v:rect style="width:0;height:1.5pt" o:hralign="center" o:hrstd="t" o:hr="t"/>
        </w:pict>
      </w:r>
    </w:p>
    <w:bookmarkStart w:id="20" w:name="i.-executive-summary"/>
    <w:p>
      <w:pPr>
        <w:pStyle w:val="Heading3"/>
      </w:pPr>
      <w:r>
        <w:t xml:space="preserve">I. Executive Summary</w:t>
      </w:r>
    </w:p>
    <w:p>
      <w:pPr>
        <w:pStyle w:val="FirstParagraph"/>
      </w:pPr>
      <w:r>
        <w:t xml:space="preserve">This comprehensive Sales Report details the performance of banking services across Riyadh, Saudi Arabia during Q3 2023. As a leading banker in the Kingdom's financial hub, our branch achieved a remarkable 18% year-over-year growth in new client acquisition and a 15% increase in cross-sold product uptake. The success stems from strategic alignment with Vision 2030 initiatives and deep market understanding specific to Riyadh's dynamic business landscape. This report underscores how our banker team has leveraged local market intelligence to drive sustainable revenue while strengthening customer relationships in the heart of Saudi Arabia Riyadh.</w:t>
      </w:r>
    </w:p>
    <w:bookmarkEnd w:id="20"/>
    <w:bookmarkStart w:id="21" w:name="ii.-sales-performance-overview"/>
    <w:p>
      <w:pPr>
        <w:pStyle w:val="Heading3"/>
      </w:pPr>
      <w:r>
        <w:t xml:space="preserve">II. Sales Performance Overview</w:t>
      </w:r>
    </w:p>
    <w:p>
      <w:pPr>
        <w:pStyle w:val="FirstParagraph"/>
      </w:pPr>
      <w:r>
        <w:t xml:space="preserve">Our banking operations in Riyadh delivered exceptional results during Q3, with total sales volume reaching SAR 142 million – surpassing targets by 22%. Key highlights include:</w:t>
      </w:r>
    </w:p>
    <w:p>
      <w:pPr>
        <w:numPr>
          <w:ilvl w:val="0"/>
          <w:numId w:val="1001"/>
        </w:numPr>
        <w:pStyle w:val="Compact"/>
      </w:pPr>
      <w:r>
        <w:rPr>
          <w:bCs/>
          <w:b/>
        </w:rPr>
        <w:t xml:space="preserve">New Business Growth:</w:t>
      </w:r>
      <w:r>
        <w:t xml:space="preserve"> </w:t>
      </w:r>
      <w:r>
        <w:t xml:space="preserve">Acquired 387 high-value corporate clients (up 31% YoY), primarily from Riyadh's real estate, technology, and manufacturing sectors.</w:t>
      </w:r>
    </w:p>
    <w:p>
      <w:pPr>
        <w:numPr>
          <w:ilvl w:val="0"/>
          <w:numId w:val="1001"/>
        </w:numPr>
        <w:pStyle w:val="Compact"/>
      </w:pPr>
      <w:r>
        <w:rPr>
          <w:bCs/>
          <w:b/>
        </w:rPr>
        <w:t xml:space="preserve">Product Diversification:</w:t>
      </w:r>
      <w:r>
        <w:t xml:space="preserve"> </w:t>
      </w:r>
      <w:r>
        <w:t xml:space="preserve">Cross-sold Islamic banking solutions to 65% of new clients (vs. 42% in Q2), reflecting our banker team's expertise in Sharia-compliant finance.</w:t>
      </w:r>
    </w:p>
    <w:p>
      <w:pPr>
        <w:numPr>
          <w:ilvl w:val="0"/>
          <w:numId w:val="1001"/>
        </w:numPr>
        <w:pStyle w:val="Compact"/>
      </w:pPr>
      <w:r>
        <w:rPr>
          <w:bCs/>
          <w:b/>
        </w:rPr>
        <w:t xml:space="preserve">Cross-Selling Success:</w:t>
      </w:r>
      <w:r>
        <w:t xml:space="preserve"> </w:t>
      </w:r>
      <w:r>
        <w:t xml:space="preserve">Achieved 4.7 average products per client (from 3.1 in Q3 2022), driven by personalized financial solutions for Riyadh-based enterprises.</w:t>
      </w:r>
    </w:p>
    <w:bookmarkEnd w:id="21"/>
    <w:bookmarkStart w:id="22" w:name="X18bb0af4eab78017f847e95ce529d5d60e8ed33"/>
    <w:p>
      <w:pPr>
        <w:pStyle w:val="Heading3"/>
      </w:pPr>
      <w:r>
        <w:t xml:space="preserve">III. Market Analysis: Riyadh's Banking Landscape</w:t>
      </w:r>
    </w:p>
    <w:p>
      <w:pPr>
        <w:pStyle w:val="FirstParagraph"/>
      </w:pPr>
      <w:r>
        <w:t xml:space="preserve">Riyadh remains the epicenter of Saudi Arabia's economic transformation, with Vision 2030 accelerating demand for sophisticated banking services. Our Sales Report identifies three critical market dynamics:</w:t>
      </w:r>
    </w:p>
    <w:p>
      <w:pPr>
        <w:numPr>
          <w:ilvl w:val="0"/>
          <w:numId w:val="1002"/>
        </w:numPr>
        <w:pStyle w:val="Compact"/>
      </w:pPr>
      <w:r>
        <w:rPr>
          <w:bCs/>
          <w:b/>
        </w:rPr>
        <w:t xml:space="preserve">Corporate Expansion:</w:t>
      </w:r>
      <w:r>
        <w:t xml:space="preserve"> </w:t>
      </w:r>
      <w:r>
        <w:t xml:space="preserve">74% of new clients entered Riyadh through government initiatives like NEOM and Qiddiya projects, creating urgent need for treasury management solutions.</w:t>
      </w:r>
    </w:p>
    <w:p>
      <w:pPr>
        <w:numPr>
          <w:ilvl w:val="0"/>
          <w:numId w:val="1002"/>
        </w:numPr>
        <w:pStyle w:val="Compact"/>
      </w:pPr>
      <w:r>
        <w:rPr>
          <w:bCs/>
          <w:b/>
        </w:rPr>
        <w:t xml:space="preserve">Digital Adoption:</w:t>
      </w:r>
      <w:r>
        <w:t xml:space="preserve"> </w:t>
      </w:r>
      <w:r>
        <w:t xml:space="preserve">89% of Riyadh businesses now expect mobile-first banking services; our digital onboarding platform reduced client acquisition time by 40%.</w:t>
      </w:r>
    </w:p>
    <w:p>
      <w:pPr>
        <w:numPr>
          <w:ilvl w:val="0"/>
          <w:numId w:val="1002"/>
        </w:numPr>
        <w:pStyle w:val="Compact"/>
      </w:pPr>
      <w:r>
        <w:rPr>
          <w:bCs/>
          <w:b/>
        </w:rPr>
        <w:t xml:space="preserve">Local Compliance Focus:</w:t>
      </w:r>
      <w:r>
        <w:t xml:space="preserve"> </w:t>
      </w:r>
      <w:r>
        <w:t xml:space="preserve">Strategic alignment with SAMA regulations and Saudi Commercial Law was instrumental in winning major contracts with local enterprises.</w:t>
      </w:r>
    </w:p>
    <w:p>
      <w:pPr>
        <w:pStyle w:val="FirstParagraph"/>
      </w:pPr>
      <w:r>
        <w:t xml:space="preserve">The banker team's deep understanding of Riyadh's unique regulatory environment and cultural nuances directly contributed to a 27% higher client retention rate compared to national averages.</w:t>
      </w:r>
    </w:p>
    <w:bookmarkEnd w:id="22"/>
    <w:bookmarkStart w:id="23" w:name="iv.-challenges-strategic-responses"/>
    <w:p>
      <w:pPr>
        <w:pStyle w:val="Heading3"/>
      </w:pPr>
      <w:r>
        <w:t xml:space="preserve">IV. Challenges &amp; Strategic Responses</w:t>
      </w:r>
    </w:p>
    <w:p>
      <w:pPr>
        <w:pStyle w:val="FirstParagraph"/>
      </w:pPr>
      <w:r>
        <w:t xml:space="preserve">While opportunities abound, our Sales Report identifies two primary challenges specific to Saudi Arabia Riyadh:</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Challenge</w:t>
            </w:r>
          </w:p>
        </w:tc>
        <w:tc>
          <w:tcPr/>
          <w:p>
            <w:pPr>
              <w:pStyle w:val="Compact"/>
              <w:jc w:val="left"/>
            </w:pPr>
            <w:r>
              <w:t xml:space="preserve">Banker's Strategic Response</w:t>
            </w:r>
          </w:p>
        </w:tc>
        <w:tc>
          <w:tcPr/>
          <w:p>
            <w:pPr>
              <w:pStyle w:val="Compact"/>
              <w:jc w:val="left"/>
            </w:pPr>
            <w:r>
              <w:t xml:space="preserve">Result</w:t>
            </w:r>
          </w:p>
        </w:tc>
      </w:tr>
      <w:tr>
        <w:tc>
          <w:tcPr/>
          <w:p>
            <w:pPr>
              <w:pStyle w:val="Compact"/>
              <w:jc w:val="left"/>
            </w:pPr>
            <w:r>
              <w:rPr>
                <w:iCs/>
                <w:i/>
              </w:rPr>
              <w:t xml:space="preserve">Riyadh's Competitive Market Saturation</w:t>
            </w:r>
          </w:p>
        </w:tc>
        <w:tc>
          <w:tcPr/>
          <w:p>
            <w:pPr>
              <w:pStyle w:val="Compact"/>
              <w:jc w:val="left"/>
            </w:pPr>
            <w:r>
              <w:t xml:space="preserve">Leveraged hyper-local expertise through neighborhood banking hubs in Diplomatic Quarter and King Abdullah Financial District.</w:t>
            </w:r>
          </w:p>
        </w:tc>
        <w:tc>
          <w:tcPr/>
          <w:p>
            <w:pPr>
              <w:pStyle w:val="Compact"/>
              <w:jc w:val="left"/>
            </w:pPr>
            <w:r>
              <w:t xml:space="preserve">82% of new clients cited "localized service understanding" as decisive factor in choosing our bank.</w:t>
            </w:r>
          </w:p>
        </w:tc>
      </w:tr>
      <w:tr>
        <w:tc>
          <w:tcPr/>
          <w:p>
            <w:pPr>
              <w:pStyle w:val="Compact"/>
              <w:jc w:val="left"/>
            </w:pPr>
            <w:r>
              <w:rPr>
                <w:iCs/>
                <w:i/>
              </w:rPr>
              <w:t xml:space="preserve">Regulatory Complexity for SMEs</w:t>
            </w:r>
          </w:p>
        </w:tc>
        <w:tc>
          <w:tcPr/>
          <w:p>
            <w:pPr>
              <w:pStyle w:val="Compact"/>
              <w:jc w:val="left"/>
            </w:pPr>
            <w:r>
              <w:t xml:space="preserve">Developed Riyadh-specific compliance toolkit with SAMA-authorized advisors, reducing onboarding friction by 60%.</w:t>
            </w:r>
          </w:p>
        </w:tc>
        <w:tc>
          <w:tcPr/>
          <w:p>
            <w:pPr>
              <w:pStyle w:val="Compact"/>
              <w:jc w:val="left"/>
            </w:pPr>
            <w:r>
              <w:t xml:space="preserve">SME product uptake increased by 51% in Q3 versus Q2.</w:t>
            </w:r>
          </w:p>
        </w:tc>
      </w:tr>
    </w:tbl>
    <w:bookmarkEnd w:id="23"/>
    <w:bookmarkStart w:id="24" w:name="v.-key-success-drivers"/>
    <w:p>
      <w:pPr>
        <w:pStyle w:val="Heading3"/>
      </w:pPr>
      <w:r>
        <w:t xml:space="preserve">V. Key Success Drivers</w:t>
      </w:r>
    </w:p>
    <w:p>
      <w:pPr>
        <w:pStyle w:val="FirstParagraph"/>
      </w:pPr>
      <w:r>
        <w:t xml:space="preserve">Our banker team's performance stems from three differentiated strategies:</w:t>
      </w:r>
    </w:p>
    <w:p>
      <w:pPr>
        <w:numPr>
          <w:ilvl w:val="0"/>
          <w:numId w:val="1003"/>
        </w:numPr>
        <w:pStyle w:val="Compact"/>
      </w:pPr>
      <w:r>
        <w:rPr>
          <w:bCs/>
          <w:b/>
        </w:rPr>
        <w:t xml:space="preserve">Cultural Intelligence Integration:</w:t>
      </w:r>
      <w:r>
        <w:t xml:space="preserve"> </w:t>
      </w:r>
      <w:r>
        <w:t xml:space="preserve">All sales personnel underwent mandatory Riyadh-specific training on local business etiquette, Ramadan/ Hajj calendar considerations, and GCC commercial practices. This fostered trust during critical negotiations.</w:t>
      </w:r>
    </w:p>
    <w:p>
      <w:pPr>
        <w:numPr>
          <w:ilvl w:val="0"/>
          <w:numId w:val="1003"/>
        </w:numPr>
        <w:pStyle w:val="Compact"/>
      </w:pPr>
      <w:r>
        <w:rPr>
          <w:bCs/>
          <w:b/>
        </w:rPr>
        <w:t xml:space="preserve">Vision 2030 Alignment:</w:t>
      </w:r>
      <w:r>
        <w:t xml:space="preserve"> </w:t>
      </w:r>
      <w:r>
        <w:t xml:space="preserve">Sales campaigns directly tied products to national goals – e.g., "NEOM Financing Package" for developers, resulting in 14 major contracts worth SAR 58M.</w:t>
      </w:r>
    </w:p>
    <w:p>
      <w:pPr>
        <w:numPr>
          <w:ilvl w:val="0"/>
          <w:numId w:val="1003"/>
        </w:numPr>
        <w:pStyle w:val="Compact"/>
      </w:pPr>
      <w:r>
        <w:rPr>
          <w:bCs/>
          <w:b/>
        </w:rPr>
        <w:t xml:space="preserve">Riyadh Ecosystem Partnerships:</w:t>
      </w:r>
      <w:r>
        <w:t xml:space="preserve"> </w:t>
      </w:r>
      <w:r>
        <w:t xml:space="preserve">Strategic alliances with Riyadh Chamber of Commerce and King Saud University created lead generation channels generating 217 qualified prospects (39% conversion rate).</w:t>
      </w:r>
    </w:p>
    <w:bookmarkEnd w:id="24"/>
    <w:bookmarkStart w:id="25" w:name="vi.-future-outlook-strategic-priorities"/>
    <w:p>
      <w:pPr>
        <w:pStyle w:val="Heading3"/>
      </w:pPr>
      <w:r>
        <w:t xml:space="preserve">VI. Future Outlook &amp; Strategic Priorities</w:t>
      </w:r>
    </w:p>
    <w:p>
      <w:pPr>
        <w:pStyle w:val="FirstParagraph"/>
      </w:pPr>
      <w:r>
        <w:t xml:space="preserve">Prioritizing Saudi Arabia Riyadh's continued growth trajectory, our Sales Report outlines these critical initiatives for Q4 2023:</w:t>
      </w:r>
    </w:p>
    <w:p>
      <w:pPr>
        <w:numPr>
          <w:ilvl w:val="0"/>
          <w:numId w:val="1004"/>
        </w:numPr>
        <w:pStyle w:val="Compact"/>
      </w:pPr>
      <w:r>
        <w:rPr>
          <w:bCs/>
          <w:b/>
        </w:rPr>
        <w:t xml:space="preserve">Expansion into Emerging Sectors:</w:t>
      </w:r>
      <w:r>
        <w:t xml:space="preserve"> </w:t>
      </w:r>
      <w:r>
        <w:t xml:space="preserve">Targeting renewable energy firms in Riyadh's newly designated Green Zone with dedicated financing solutions.</w:t>
      </w:r>
    </w:p>
    <w:p>
      <w:pPr>
        <w:numPr>
          <w:ilvl w:val="0"/>
          <w:numId w:val="1004"/>
        </w:numPr>
        <w:pStyle w:val="Compact"/>
      </w:pPr>
      <w:r>
        <w:rPr>
          <w:bCs/>
          <w:b/>
        </w:rPr>
        <w:t xml:space="preserve">Digital Transformation Acceleration:</w:t>
      </w:r>
      <w:r>
        <w:t xml:space="preserve"> </w:t>
      </w:r>
      <w:r>
        <w:t xml:space="preserve">Launching AI-powered client analytics platform to predict needs of Riyadh businesses using local economic data (target: 30% faster sales cycle).</w:t>
      </w:r>
    </w:p>
    <w:p>
      <w:pPr>
        <w:numPr>
          <w:ilvl w:val="0"/>
          <w:numId w:val="1004"/>
        </w:numPr>
        <w:pStyle w:val="Compact"/>
      </w:pPr>
      <w:r>
        <w:rPr>
          <w:bCs/>
          <w:b/>
        </w:rPr>
        <w:t xml:space="preserve">Women-Led Business Initiative:</w:t>
      </w:r>
      <w:r>
        <w:t xml:space="preserve"> </w:t>
      </w:r>
      <w:r>
        <w:t xml:space="preserve">Creating specialized banking products for female entrepreneurs – a growing segment in Riyadh (12% annual growth), targeting 200+ new clients.</w:t>
      </w:r>
    </w:p>
    <w:bookmarkEnd w:id="25"/>
    <w:bookmarkStart w:id="26" w:name="vii.-conclusion-the-riyadh-advantage"/>
    <w:p>
      <w:pPr>
        <w:pStyle w:val="Heading3"/>
      </w:pPr>
      <w:r>
        <w:t xml:space="preserve">VII. Conclusion: The Riyadh Advantage</w:t>
      </w:r>
    </w:p>
    <w:p>
      <w:pPr>
        <w:pStyle w:val="FirstParagraph"/>
      </w:pPr>
      <w:r>
        <w:t xml:space="preserve">This Sales Report unequivocally demonstrates how our banker team has transformed Riyadh into a flagship market for Saudi Arabia's financial sector. By embedding local market mastery within every sales interaction, we've achieved results that exceed both regional benchmarks and national growth targets. Our success proves that in Saudi Arabia Riyadh – where business relationships are built on trust and cultural nuance – the most effective banker is one who understands the city's rhythm as deeply as its banking regulations.</w:t>
      </w:r>
    </w:p>
    <w:p>
      <w:pPr>
        <w:pStyle w:val="BodyText"/>
      </w:pPr>
      <w:r>
        <w:t xml:space="preserve">As Vision 2030 accelerates, Riyadh will remain central to Saudi Arabia's economic ascent. Our sales strategy isn't merely about transactions; it's about becoming the indispensable financial partner for every enterprise driving the Kingdom forward. The banker who masters Riyadh today doesn't just win quarterly targets – they secure the bank's position as Saudi Arabia's most trusted financial institution for decades to come.</w:t>
      </w:r>
    </w:p>
    <w:bookmarkEnd w:id="26"/>
    <w:bookmarkStart w:id="27" w:name="viii.-appendix-key-metrics-riyadh-branch"/>
    <w:p>
      <w:pPr>
        <w:pStyle w:val="Heading3"/>
      </w:pPr>
      <w:r>
        <w:t xml:space="preserve">VIII. Appendix: Key Metrics (Riyadh Branch)</w:t>
      </w:r>
    </w:p>
    <w:p>
      <w:pPr>
        <w:pStyle w:val="FirstParagraph"/>
      </w:pPr>
      <w:r>
        <w:t xml:space="preserve">Indicator</w:t>
      </w:r>
    </w:p>
    <w:p>
      <w:pPr>
        <w:pStyle w:val="BodyText"/>
      </w:pPr>
      <w:r>
        <w:t xml:space="preserve">Q3 2023</w:t>
      </w:r>
    </w:p>
    <w:p>
      <w:pPr>
        <w:pStyle w:val="BodyText"/>
      </w:pPr>
      <w:r>
        <w:t xml:space="preserve">Q2 2023</w:t>
      </w:r>
    </w:p>
    <w:p>
      <w:pPr>
        <w:pStyle w:val="BodyText"/>
      </w:pPr>
      <w:r>
        <w:t xml:space="preserve">% Change</w:t>
      </w:r>
    </w:p>
    <w:p>
      <w:pPr>
        <w:pStyle w:val="BodyText"/>
      </w:pPr>
      <w:r>
        <w:t xml:space="preserve">New Client Acquisition (Riyadh)</w:t>
      </w:r>
    </w:p>
    <w:p>
      <w:pPr>
        <w:pStyle w:val="BodyText"/>
      </w:pPr>
      <w:r>
        <w:t xml:space="preserve">387</w:t>
      </w:r>
    </w:p>
    <w:p>
      <w:pPr>
        <w:pStyle w:val="BodyText"/>
      </w:pPr>
      <w:r>
        <w:t xml:space="preserve">295</w:t>
      </w:r>
    </w:p>
    <w:p>
      <w:pPr>
        <w:pStyle w:val="BodyText"/>
      </w:pPr>
      <w:r>
        <w:t xml:space="preserve">+31.2%</w:t>
      </w:r>
    </w:p>
    <w:p>
      <w:pPr>
        <w:pStyle w:val="BodyText"/>
      </w:pPr>
      <w:r>
        <w:t xml:space="preserve">Average Deal Value (SAR)</w:t>
      </w:r>
    </w:p>
    <w:p>
      <w:pPr>
        <w:pStyle w:val="BodyText"/>
      </w:pPr>
      <w:r>
        <w:t xml:space="preserve">368,000</w:t>
      </w:r>
    </w:p>
    <w:p>
      <w:pPr>
        <w:pStyle w:val="BodyText"/>
      </w:pPr>
      <w:r>
        <w:t xml:space="preserve">294,000</w:t>
      </w:r>
    </w:p>
    <w:p>
      <w:pPr>
        <w:pStyle w:val="BodyText"/>
      </w:pPr>
      <w:r>
        <w:t xml:space="preserve">Total Sales Revenue</w:t>
      </w:r>
    </w:p>
    <w:p>
      <w:pPr>
        <w:pStyle w:val="BodyText"/>
      </w:pPr>
      <w:r>
        <w:t xml:space="preserve">SAR 142M</w:t>
      </w:r>
    </w:p>
    <w:p>
      <w:pPr>
        <w:pStyle w:val="BodyText"/>
      </w:pPr>
      <w:r>
        <w:t xml:space="preserve">SAR 117M</w:t>
      </w:r>
    </w:p>
    <w:p>
      <w:pPr>
        <w:pStyle w:val="BodyText"/>
      </w:pPr>
      <w:r>
        <w:t xml:space="preserve">+21.4%</w:t>
      </w:r>
    </w:p>
    <w:p>
      <w:pPr>
        <w:pStyle w:val="BodyText"/>
      </w:pPr>
      <w:r>
        <w:t xml:space="preserve">Client Retention Rate (Riyadh)</w:t>
      </w:r>
    </w:p>
    <w:p>
      <w:pPr>
        <w:pStyle w:val="BodyText"/>
      </w:pPr>
      <w:r>
        <w:t xml:space="preserve">92%</w:t>
      </w:r>
    </w:p>
    <w:p>
      <w:pPr>
        <w:pStyle w:val="BodyText"/>
      </w:pPr>
      <w:r>
        <w:t xml:space="preserve">85%</w:t>
      </w:r>
    </w:p>
    <w:p>
      <w:pPr>
        <w:pStyle w:val="BodyText"/>
      </w:pPr>
      <w:r>
        <w:t xml:space="preserve">+7.0 points</w:t>
      </w:r>
    </w:p>
    <w:p>
      <w:pPr>
        <w:pStyle w:val="BodyText"/>
      </w:pPr>
      <w:r>
        <w:t xml:space="preserve">"In Riyadh, banking isn't transacted – it's built through relationships as enduring as the city's heritage." – [Banker Name], Head of Sales, Riyadh</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Banking Performance Analysis - Riyadh, Saudi Arabia</dc:title>
  <dc:creator/>
  <dc:language>en</dc:language>
  <cp:keywords/>
  <dcterms:created xsi:type="dcterms:W3CDTF">2026-07-23T12:58:31Z</dcterms:created>
  <dcterms:modified xsi:type="dcterms:W3CDTF">2026-07-23T12:58:31Z</dcterms:modified>
</cp:coreProperties>
</file>

<file path=docProps/custom.xml><?xml version="1.0" encoding="utf-8"?>
<Properties xmlns="http://schemas.openxmlformats.org/officeDocument/2006/custom-properties" xmlns:vt="http://schemas.openxmlformats.org/officeDocument/2006/docPropsVTypes"/>
</file>