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Sales</w:t>
      </w:r>
      <w:r>
        <w:t xml:space="preserve"> </w:t>
      </w:r>
      <w:r>
        <w:t xml:space="preserve">Report</w:t>
      </w:r>
      <w:r>
        <w:t xml:space="preserve"> </w:t>
      </w:r>
      <w:r>
        <w:t xml:space="preserve">|</w:t>
      </w:r>
      <w:r>
        <w:t xml:space="preserve"> </w:t>
      </w:r>
      <w:r>
        <w:t xml:space="preserve">Banking</w:t>
      </w:r>
      <w:r>
        <w:t xml:space="preserve"> </w:t>
      </w:r>
      <w:r>
        <w:t xml:space="preserve">Excellence</w:t>
      </w:r>
    </w:p>
    <w:bookmarkStart w:id="30" w:name="Xff384779902f7754aa155ba12c404857b885c99"/>
    <w:p>
      <w:pPr>
        <w:pStyle w:val="Heading1"/>
      </w:pPr>
      <w:r>
        <w:t xml:space="preserve">Quarterly Sales Report: Johannesburg Banking Division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Standard Bank Johannesburg</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Banking Division across South Africa Johannesburg during Q3 2023. As a leading financial institution in the region, our Johannesburg operations delivered robust results driven by strategic client engagement and market responsiveness. The Banker team achieved a 14% year-over-year increase in new account acquisitions while maintaining exceptional client retention rates of 89%. This performance underscores our commitment to delivering tailored financial solutions within South Africa's dynamic economic landscape. The report highlights key successes, market challenges specific to Johannesburg, and actionable insights for the upcoming quarter.</w:t>
      </w:r>
    </w:p>
    <w:bookmarkEnd w:id="20"/>
    <w:bookmarkStart w:id="21"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 (Johannesburg)</w:t>
            </w:r>
          </w:p>
        </w:tc>
        <w:tc>
          <w:tcPr/>
          <w:p>
            <w:pPr>
              <w:pStyle w:val="Compact"/>
              <w:jc w:val="left"/>
            </w:pPr>
            <w:r>
              <w:t xml:space="preserve">1,857</w:t>
            </w:r>
          </w:p>
        </w:tc>
        <w:tc>
          <w:tcPr/>
          <w:p>
            <w:pPr>
              <w:pStyle w:val="Compact"/>
              <w:jc w:val="left"/>
            </w:pPr>
            <w:r>
              <w:t xml:space="preserve">1,654</w:t>
            </w:r>
          </w:p>
        </w:tc>
        <w:tc>
          <w:tcPr/>
          <w:p>
            <w:pPr>
              <w:pStyle w:val="Compact"/>
              <w:jc w:val="left"/>
            </w:pPr>
            <w:r>
              <w:t xml:space="preserve">+12.3%</w:t>
            </w:r>
          </w:p>
        </w:tc>
      </w:tr>
      <w:tr>
        <w:tc>
          <w:tcPr/>
          <w:p>
            <w:pPr>
              <w:pStyle w:val="Compact"/>
              <w:jc w:val="left"/>
            </w:pPr>
            <w:r>
              <w:t xml:space="preserve">Revenue Generated (ZAR)</w:t>
            </w:r>
          </w:p>
        </w:tc>
        <w:tc>
          <w:tcPr/>
          <w:p>
            <w:pPr>
              <w:pStyle w:val="Compact"/>
              <w:jc w:val="left"/>
            </w:pPr>
            <w:r>
              <w:t xml:space="preserve">284.6M</w:t>
            </w:r>
          </w:p>
        </w:tc>
        <w:tc>
          <w:tcPr/>
          <w:p>
            <w:pPr>
              <w:pStyle w:val="Compact"/>
              <w:jc w:val="left"/>
            </w:pPr>
            <w:r>
              <w:t xml:space="preserve">258.9M</w:t>
            </w:r>
          </w:p>
        </w:tc>
        <w:tc>
          <w:tcPr/>
          <w:p>
            <w:pPr>
              <w:pStyle w:val="Compact"/>
              <w:jc w:val="left"/>
            </w:pPr>
            <w:r>
              <w:t xml:space="preserve">+10.0%</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86%</w:t>
            </w:r>
          </w:p>
        </w:tc>
        <w:tc>
          <w:tcPr/>
          <w:p>
            <w:pPr>
              <w:pStyle w:val="Compact"/>
              <w:jc w:val="left"/>
            </w:pPr>
            <w:r>
              <w:t xml:space="preserve">+3.0 pts</w:t>
            </w:r>
          </w:p>
        </w:tc>
      </w:tr>
      <w:tr>
        <w:tc>
          <w:tcPr/>
          <w:p>
            <w:pPr>
              <w:pStyle w:val="Compact"/>
              <w:jc w:val="left"/>
            </w:pPr>
            <w:r>
              <w:t xml:space="preserve">Loan Portfolio Growth</w:t>
            </w:r>
          </w:p>
        </w:tc>
        <w:tc>
          <w:tcPr/>
          <w:p>
            <w:pPr>
              <w:pStyle w:val="Compact"/>
              <w:jc w:val="left"/>
            </w:pPr>
            <w:r>
              <w:t xml:space="preserve">ZAR 1.42B</w:t>
            </w:r>
          </w:p>
        </w:tc>
        <w:tc>
          <w:tcPr/>
          <w:p>
            <w:pPr>
              <w:pStyle w:val="Compact"/>
              <w:jc w:val="left"/>
            </w:pPr>
            <w:r>
              <w:t xml:space="preserve">ZAR 1.27B</w:t>
            </w:r>
          </w:p>
        </w:tc>
        <w:tc>
          <w:tcPr/>
          <w:p>
            <w:pPr>
              <w:pStyle w:val="Compact"/>
              <w:jc w:val="left"/>
            </w:pPr>
            <w:r>
              <w:t xml:space="preserve">+11.8%</w:t>
            </w:r>
          </w:p>
        </w:tc>
      </w:tr>
    </w:tbl>
    <w:bookmarkEnd w:id="21"/>
    <w:bookmarkStart w:id="25" w:name="product-line-performance-analysis"/>
    <w:p>
      <w:pPr>
        <w:pStyle w:val="Heading2"/>
      </w:pPr>
      <w:r>
        <w:t xml:space="preserve">Product Line Performance Analysis</w:t>
      </w:r>
    </w:p>
    <w:p>
      <w:pPr>
        <w:pStyle w:val="FirstParagraph"/>
      </w:pPr>
      <w:r>
        <w:t xml:space="preserve">Our Johannesburg Banker team achieved significant growth across all core banking segments:</w:t>
      </w:r>
    </w:p>
    <w:bookmarkStart w:id="22" w:name="personal-banking-solutions"/>
    <w:p>
      <w:pPr>
        <w:pStyle w:val="Heading3"/>
      </w:pPr>
      <w:r>
        <w:t xml:space="preserve">Personal Banking Solutions</w:t>
      </w:r>
    </w:p>
    <w:p>
      <w:pPr>
        <w:pStyle w:val="FirstParagraph"/>
      </w:pPr>
      <w:r>
        <w:t xml:space="preserve">The Personal Banking division recorded a 16% surge in new savings account sign-ups, particularly among young professionals in Sandton and Rosebank. The success was driven by our "Digital First" campaign which integrated mobile banking with personalized financial coaching. Johannesburg-based clients appreciated the tailored investment options for the local property market recovery, contributing to 22% higher cross-selling rates compared to previous quarters.</w:t>
      </w:r>
    </w:p>
    <w:bookmarkEnd w:id="22"/>
    <w:bookmarkStart w:id="23" w:name="commercial-banking-services"/>
    <w:p>
      <w:pPr>
        <w:pStyle w:val="Heading3"/>
      </w:pPr>
      <w:r>
        <w:t xml:space="preserve">Commercial Banking Services</w:t>
      </w:r>
    </w:p>
    <w:p>
      <w:pPr>
        <w:pStyle w:val="FirstParagraph"/>
      </w:pPr>
      <w:r>
        <w:t xml:space="preserve">Commercial Bankers secured 47 new SME accounts in Johannesburg, focusing on retail and logistics sectors. The "Johannesburg Growth Initiative" provided customized financing for small businesses navigating post-pandemic challenges. Key achievement: A ZAR 85M loan facility to a Gauteng-based manufacturing firm supporting job creation in the region.</w:t>
      </w:r>
    </w:p>
    <w:bookmarkEnd w:id="23"/>
    <w:bookmarkStart w:id="24" w:name="wealth-management-division"/>
    <w:p>
      <w:pPr>
        <w:pStyle w:val="Heading3"/>
      </w:pPr>
      <w:r>
        <w:t xml:space="preserve">Wealth Management Division</w:t>
      </w:r>
    </w:p>
    <w:p>
      <w:pPr>
        <w:pStyle w:val="FirstParagraph"/>
      </w:pPr>
      <w:r>
        <w:t xml:space="preserve">Our Johannesburg wealth management team delivered exceptional results with a 24% increase in high-net-worth client onboarding. The Banker-led "Johannesburg Legacy Planning" service helped clients navigate SA's complex tax landscape, resulting in a 35% rise in discretionary fund allocations. This positioned us as the preferred wealth advisor for corporate executives across Soweto and Midrand.</w:t>
      </w:r>
    </w:p>
    <w:bookmarkEnd w:id="24"/>
    <w:bookmarkEnd w:id="25"/>
    <w:bookmarkStart w:id="26" w:name="Xda218fa023d437d39abae67629644320d015b67"/>
    <w:p>
      <w:pPr>
        <w:pStyle w:val="Heading2"/>
      </w:pPr>
      <w:r>
        <w:t xml:space="preserve">Market Trends Analysis: South Africa Johannesburg Context</w:t>
      </w:r>
    </w:p>
    <w:p>
      <w:pPr>
        <w:pStyle w:val="FirstParagraph"/>
      </w:pPr>
      <w:r>
        <w:t xml:space="preserve">The Johannesburg banking market continues to evolve amid South Africa's economic recovery. Key trends observed during Q3 included:</w:t>
      </w:r>
    </w:p>
    <w:p>
      <w:pPr>
        <w:numPr>
          <w:ilvl w:val="0"/>
          <w:numId w:val="1001"/>
        </w:numPr>
        <w:pStyle w:val="Compact"/>
      </w:pPr>
      <w:r>
        <w:rPr>
          <w:bCs/>
          <w:b/>
        </w:rPr>
        <w:t xml:space="preserve">Rising Digital Adoption:</w:t>
      </w:r>
      <w:r>
        <w:t xml:space="preserve"> </w:t>
      </w:r>
      <w:r>
        <w:t xml:space="preserve">78% of Johannesburg clients now use mobile banking daily, necessitating our Banker team's continuous upskilling in digital solutions.</w:t>
      </w:r>
    </w:p>
    <w:p>
      <w:pPr>
        <w:numPr>
          <w:ilvl w:val="0"/>
          <w:numId w:val="1001"/>
        </w:numPr>
        <w:pStyle w:val="Compact"/>
      </w:pPr>
      <w:r>
        <w:rPr>
          <w:bCs/>
          <w:b/>
        </w:rPr>
        <w:t xml:space="preserve">Property Market Resilience:</w:t>
      </w:r>
      <w:r>
        <w:t xml:space="preserve"> </w:t>
      </w:r>
      <w:r>
        <w:t xml:space="preserve">Gauteng's property sector rebounded with a 9.2% quarterly increase in transactions, driving demand for mortgage products through our Johannesburg branches.</w:t>
      </w:r>
    </w:p>
    <w:p>
      <w:pPr>
        <w:numPr>
          <w:ilvl w:val="0"/>
          <w:numId w:val="1001"/>
        </w:numPr>
        <w:pStyle w:val="Compact"/>
      </w:pPr>
      <w:r>
        <w:rPr>
          <w:bCs/>
          <w:b/>
        </w:rPr>
        <w:t xml:space="preserve">SME Revival:</w:t>
      </w:r>
      <w:r>
        <w:t xml:space="preserve"> </w:t>
      </w:r>
      <w:r>
        <w:t xml:space="preserve">With Johannesburg's unemployment rate declining to 30.7%, small businesses are actively seeking growth capital – an opportunity our Bankers leveraged effectively.</w:t>
      </w:r>
    </w:p>
    <w:p>
      <w:pPr>
        <w:numPr>
          <w:ilvl w:val="0"/>
          <w:numId w:val="1001"/>
        </w:numPr>
        <w:pStyle w:val="Compact"/>
      </w:pPr>
      <w:r>
        <w:rPr>
          <w:bCs/>
          <w:b/>
        </w:rPr>
        <w:t xml:space="preserve">Economic Volatility:</w:t>
      </w:r>
      <w:r>
        <w:t xml:space="preserve"> </w:t>
      </w:r>
      <w:r>
        <w:t xml:space="preserve">Global energy price fluctuations impacted local business confidence, requiring our Bankers to provide agile financial contingency planning for clients.</w:t>
      </w:r>
    </w:p>
    <w:bookmarkEnd w:id="26"/>
    <w:bookmarkStart w:id="27" w:name="challenges-and-strategic-responses"/>
    <w:p>
      <w:pPr>
        <w:pStyle w:val="Heading2"/>
      </w:pPr>
      <w:r>
        <w:t xml:space="preserve">Challenges and Strategic Responses</w:t>
      </w:r>
    </w:p>
    <w:p>
      <w:pPr>
        <w:pStyle w:val="FirstParagraph"/>
      </w:pPr>
      <w:r>
        <w:t xml:space="preserve">Johannesburg's competitive banking landscape presented several challenges. The primary obstacle was intense competition from neobanks offering fee-free accounts. Our Banker team countered this through:</w:t>
      </w:r>
    </w:p>
    <w:p>
      <w:pPr>
        <w:numPr>
          <w:ilvl w:val="0"/>
          <w:numId w:val="1002"/>
        </w:numPr>
        <w:pStyle w:val="Compact"/>
      </w:pPr>
      <w:r>
        <w:rPr>
          <w:bCs/>
          <w:b/>
        </w:rPr>
        <w:t xml:space="preserve">Hyper-Personalization:</w:t>
      </w:r>
      <w:r>
        <w:t xml:space="preserve"> </w:t>
      </w:r>
      <w:r>
        <w:t xml:space="preserve">Implementing AI-driven client profiling to deliver bespoke product recommendations, increasing conversion rates by 18%.</w:t>
      </w:r>
    </w:p>
    <w:p>
      <w:pPr>
        <w:numPr>
          <w:ilvl w:val="0"/>
          <w:numId w:val="1002"/>
        </w:numPr>
        <w:pStyle w:val="Compact"/>
      </w:pPr>
      <w:r>
        <w:rPr>
          <w:bCs/>
          <w:b/>
        </w:rPr>
        <w:t xml:space="preserve">Community Engagement:</w:t>
      </w:r>
      <w:r>
        <w:t xml:space="preserve"> </w:t>
      </w:r>
      <w:r>
        <w:t xml:space="preserve">Hosting quarterly "Financial Wellness Forums" across Johannesburg townships, building trust with previously underserved communities.</w:t>
      </w:r>
    </w:p>
    <w:p>
      <w:pPr>
        <w:numPr>
          <w:ilvl w:val="0"/>
          <w:numId w:val="1002"/>
        </w:numPr>
        <w:pStyle w:val="Compact"/>
      </w:pPr>
      <w:r>
        <w:rPr>
          <w:bCs/>
          <w:b/>
        </w:rPr>
        <w:t xml:space="preserve">Cross-Functional Training:</w:t>
      </w:r>
      <w:r>
        <w:t xml:space="preserve"> </w:t>
      </w:r>
      <w:r>
        <w:t xml:space="preserve">Certifying all Johannesburg Bankers in fintech solutions, enabling seamless integration of digital tools with human advisory services.</w:t>
      </w:r>
    </w:p>
    <w:bookmarkEnd w:id="27"/>
    <w:bookmarkStart w:id="28" w:name="strategic-recommendations-for-q4"/>
    <w:p>
      <w:pPr>
        <w:pStyle w:val="Heading2"/>
      </w:pPr>
      <w:r>
        <w:t xml:space="preserve">Strategic Recommendations for Q4</w:t>
      </w:r>
    </w:p>
    <w:p>
      <w:pPr>
        <w:pStyle w:val="FirstParagraph"/>
      </w:pPr>
      <w:r>
        <w:t xml:space="preserve">To sustain momentum in South Africa Johannesburg, we propose the following actions:</w:t>
      </w:r>
    </w:p>
    <w:p>
      <w:pPr>
        <w:numPr>
          <w:ilvl w:val="0"/>
          <w:numId w:val="1003"/>
        </w:numPr>
        <w:pStyle w:val="Compact"/>
      </w:pPr>
      <w:r>
        <w:rPr>
          <w:bCs/>
          <w:b/>
        </w:rPr>
        <w:t xml:space="preserve">Expand "Johannesburg SME Accelerator":</w:t>
      </w:r>
      <w:r>
        <w:t xml:space="preserve"> </w:t>
      </w:r>
      <w:r>
        <w:t xml:space="preserve">Allocate ZAR 50M specifically for high-potential Gauteng startups with dedicated Banker support teams.</w:t>
      </w:r>
    </w:p>
    <w:p>
      <w:pPr>
        <w:numPr>
          <w:ilvl w:val="0"/>
          <w:numId w:val="1003"/>
        </w:numPr>
        <w:pStyle w:val="Compact"/>
      </w:pPr>
      <w:r>
        <w:rPr>
          <w:bCs/>
          <w:b/>
        </w:rPr>
        <w:t xml:space="preserve">Launch Urban Financial Literacy Program:</w:t>
      </w:r>
      <w:r>
        <w:t xml:space="preserve"> </w:t>
      </w:r>
      <w:r>
        <w:t xml:space="preserve">Partner with Johannesburg City Council to deliver free financial education in 15 townships, targeting first-time banking customers.</w:t>
      </w:r>
    </w:p>
    <w:p>
      <w:pPr>
        <w:numPr>
          <w:ilvl w:val="0"/>
          <w:numId w:val="1003"/>
        </w:numPr>
        <w:pStyle w:val="Compact"/>
      </w:pPr>
      <w:r>
        <w:rPr>
          <w:bCs/>
          <w:b/>
        </w:rPr>
        <w:t xml:space="preserve">Enhance Digital-Physical Integration:</w:t>
      </w:r>
      <w:r>
        <w:t xml:space="preserve"> </w:t>
      </w:r>
      <w:r>
        <w:t xml:space="preserve">Implement biometric authentication at all Johannesburg branches by Q4 to bridge the digital divide while maintaining personal touch.</w:t>
      </w:r>
    </w:p>
    <w:p>
      <w:pPr>
        <w:numPr>
          <w:ilvl w:val="0"/>
          <w:numId w:val="1003"/>
        </w:numPr>
        <w:pStyle w:val="Compact"/>
      </w:pPr>
      <w:r>
        <w:rPr>
          <w:bCs/>
          <w:b/>
        </w:rPr>
        <w:t xml:space="preserve">Focused Wealth Strategy for Mining Sector:</w:t>
      </w:r>
      <w:r>
        <w:t xml:space="preserve"> </w:t>
      </w:r>
      <w:r>
        <w:t xml:space="preserve">Develop specialized packages for mining executives in Johannesburg, addressing unique income volatility challenges.</w:t>
      </w:r>
    </w:p>
    <w:bookmarkEnd w:id="28"/>
    <w:bookmarkStart w:id="29" w:name="conclusion"/>
    <w:p>
      <w:pPr>
        <w:pStyle w:val="Heading2"/>
      </w:pPr>
      <w:r>
        <w:t xml:space="preserve">Conclusion</w:t>
      </w:r>
    </w:p>
    <w:p>
      <w:pPr>
        <w:pStyle w:val="FirstParagraph"/>
      </w:pPr>
      <w:r>
        <w:t xml:space="preserve">The South Africa Johannesburg Banking Division has demonstrated exceptional performance in Q3 2023, proving that a client-centric approach combined with deep market understanding delivers sustainable growth. Our Banker team's strategic responsiveness to Johannesburg's unique economic dynamics – from township entrepreneurship to Sandton corporate finance – positioned us as the banking partner of choice across diverse segments. As we move into Q4, we will double down on our commitment to South Africa's financial ecosystem by embedding community development into every client interaction.</w:t>
      </w:r>
    </w:p>
    <w:p>
      <w:pPr>
        <w:pStyle w:val="BodyText"/>
      </w:pPr>
      <w:r>
        <w:t xml:space="preserve">Crucially, this Sales Report underscores that in Johannesburg's competitive landscape, success hinges not just on transaction volume but on building trust through culturally intelligent banking. Our Bankers have proven they can deliver both – transforming the sales narrative from mere product delivery to financial partnership. With Johannesburg's economy showing clear signs of recovery and our team's strategic execution, the outlook for Q4 remains exceptionally strong. We are confident that by continuing to prioritize Johannesburg-specific solutions within our broader South Africa strategy, we will achieve record-breaking performance while fulfilling our social impact commitments in this vibrant city.</w:t>
      </w:r>
    </w:p>
    <w:p>
      <w:pPr>
        <w:pStyle w:val="BodyText"/>
      </w:pPr>
      <w:r>
        <w:rPr>
          <w:iCs/>
          <w:i/>
        </w:rPr>
        <w:t xml:space="preserve">Prepared by: Johannesburg Sales Analytics Team</w:t>
      </w:r>
      <w:r>
        <w:br/>
      </w:r>
      <w:r>
        <w:rPr>
          <w:iCs/>
          <w:i/>
        </w:rPr>
        <w:t xml:space="preserve">Standard Bank | 101 Fox Street, Sandton, Johannesburg 2196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Sales Report | Banking Excellence</dc:title>
  <dc:creator/>
  <dc:language>en</dc:language>
  <cp:keywords/>
  <dcterms:created xsi:type="dcterms:W3CDTF">2025-12-15T23:00:15Z</dcterms:created>
  <dcterms:modified xsi:type="dcterms:W3CDTF">2025-12-15T23:00:15Z</dcterms:modified>
</cp:coreProperties>
</file>

<file path=docProps/custom.xml><?xml version="1.0" encoding="utf-8"?>
<Properties xmlns="http://schemas.openxmlformats.org/officeDocument/2006/custom-properties" xmlns:vt="http://schemas.openxmlformats.org/officeDocument/2006/docPropsVTypes"/>
</file>