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Korea</w:t>
      </w:r>
      <w:r>
        <w:t xml:space="preserve"> </w:t>
      </w:r>
      <w:r>
        <w:t xml:space="preserve">Seoul</w:t>
      </w:r>
      <w:r>
        <w:t xml:space="preserve"> </w:t>
      </w:r>
      <w:r>
        <w:t xml:space="preserve">Sales</w:t>
      </w:r>
      <w:r>
        <w:t xml:space="preserve"> </w:t>
      </w:r>
      <w:r>
        <w:t xml:space="preserve">Report:</w:t>
      </w:r>
      <w:r>
        <w:t xml:space="preserve"> </w:t>
      </w:r>
      <w:r>
        <w:t xml:space="preserve">Banker</w:t>
      </w:r>
      <w:r>
        <w:t xml:space="preserve"> </w:t>
      </w:r>
      <w:r>
        <w:t xml:space="preserve">Performance</w:t>
      </w:r>
      <w:r>
        <w:t xml:space="preserve"> </w:t>
      </w:r>
      <w:r>
        <w:t xml:space="preserve">Analysis</w:t>
      </w:r>
    </w:p>
    <w:bookmarkStart w:id="28" w:name="X9aff62c5775ee0e25dbb62ab09954073fd0a220"/>
    <w:p>
      <w:pPr>
        <w:pStyle w:val="Heading1"/>
      </w:pPr>
      <w:r>
        <w:t xml:space="preserve">Sales Report: Premier Banking Operations in South Korea Seoul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Global Banking Division</w:t>
      </w:r>
      <w:r>
        <w:br/>
      </w:r>
      <w:r>
        <w:rPr>
          <w:bCs/>
          <w:b/>
        </w:rPr>
        <w:t xml:space="preserve">Prepared By:</w:t>
      </w:r>
      <w:r>
        <w:t xml:space="preserve"> </w:t>
      </w:r>
      <w:r>
        <w:t xml:space="preserve">Regional Sales Strategy Team</w:t>
      </w:r>
      <w:r>
        <w:br/>
      </w:r>
      <w:r>
        <w:rPr>
          <w:bCs/>
          <w:b/>
        </w:rPr>
        <w:t xml:space="preserve">Period Covered: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banking operations in South Korea Seoul, focusing on the strategic activities of our dedicated Banker team across key financial services. Despite regional economic headwinds, Seoul-based banking initiatives achieved a remarkable 18% year-over-year growth in client acquisition and secured a 24% increase in high-value asset management portfolios. The South Korea Seoul market remains pivotal to our global expansion strategy, with the local Banker network driving innovation through hyper-localized solutions. This Sales Report confirms that targeted engagement by our Seoul-based Banker professionals has positioned us as a top-tier financial partner for both multinational corporations and affluent domestic clients in the Korean market.</w:t>
      </w:r>
    </w:p>
    <w:bookmarkEnd w:id="20"/>
    <w:bookmarkStart w:id="21" w:name="X8f6b870b75c8d9f779333a99c41f289c3ef3232"/>
    <w:p>
      <w:pPr>
        <w:pStyle w:val="Heading2"/>
      </w:pPr>
      <w:r>
        <w:t xml:space="preserve">II. Performance Metrics: Seoul Market Dominance</w:t>
      </w:r>
    </w:p>
    <w:p>
      <w:pPr>
        <w:pStyle w:val="FirstParagraph"/>
      </w:pPr>
      <w:r>
        <w:t xml:space="preserve">The Banker team in South Korea Seoul delivered exceptional results across all service verticals. Key achievements include:</w:t>
      </w:r>
    </w:p>
    <w:p>
      <w:pPr>
        <w:numPr>
          <w:ilvl w:val="0"/>
          <w:numId w:val="1001"/>
        </w:numPr>
        <w:pStyle w:val="Compact"/>
      </w:pPr>
      <w:r>
        <w:rPr>
          <w:bCs/>
          <w:b/>
        </w:rPr>
        <w:t xml:space="preserve">Client Acquisition:</w:t>
      </w:r>
      <w:r>
        <w:t xml:space="preserve"> </w:t>
      </w:r>
      <w:r>
        <w:t xml:space="preserve">378 new premium clients secured (up 22% YoY), with 68% from the technology and automotive sectors – core industries driving Seoul's economy.</w:t>
      </w:r>
    </w:p>
    <w:p>
      <w:pPr>
        <w:numPr>
          <w:ilvl w:val="0"/>
          <w:numId w:val="1001"/>
        </w:numPr>
        <w:pStyle w:val="Compact"/>
      </w:pPr>
      <w:r>
        <w:rPr>
          <w:bCs/>
          <w:b/>
        </w:rPr>
        <w:t xml:space="preserve">Asset Growth:</w:t>
      </w:r>
      <w:r>
        <w:t xml:space="preserve"> </w:t>
      </w:r>
      <w:r>
        <w:t xml:space="preserve">$4.2 billion in new assets under management, representing a 31% surge in cross-sold treasury services among existing clients.</w:t>
      </w:r>
    </w:p>
    <w:p>
      <w:pPr>
        <w:numPr>
          <w:ilvl w:val="0"/>
          <w:numId w:val="1001"/>
        </w:numPr>
        <w:pStyle w:val="Compact"/>
      </w:pPr>
      <w:r>
        <w:rPr>
          <w:bCs/>
          <w:b/>
        </w:rPr>
        <w:t xml:space="preserve">Sales Conversion Rate:</w:t>
      </w:r>
      <w:r>
        <w:t xml:space="preserve"> </w:t>
      </w:r>
      <w:r>
        <w:t xml:space="preserve">41% – significantly outperforming the global average of 28%, demonstrating superior Banker relationship-building capabilities.</w:t>
      </w:r>
    </w:p>
    <w:p>
      <w:pPr>
        <w:numPr>
          <w:ilvl w:val="0"/>
          <w:numId w:val="1001"/>
        </w:numPr>
        <w:pStyle w:val="Compact"/>
      </w:pPr>
      <w:r>
        <w:rPr>
          <w:bCs/>
          <w:b/>
        </w:rPr>
        <w:t xml:space="preserve">Customer Retention:</w:t>
      </w:r>
      <w:r>
        <w:t xml:space="preserve"> </w:t>
      </w:r>
      <w:r>
        <w:t xml:space="preserve">96.3% for Tier-1 clients, with our Seoul Banker team implementing personalized engagement programs that reduced churn by 15%.</w:t>
      </w:r>
    </w:p>
    <w:bookmarkEnd w:id="21"/>
    <w:bookmarkStart w:id="22" w:name="iii.-south-korea-seoul-market-analysis"/>
    <w:p>
      <w:pPr>
        <w:pStyle w:val="Heading2"/>
      </w:pPr>
      <w:r>
        <w:t xml:space="preserve">III. South Korea Seoul Market Analysis</w:t>
      </w:r>
    </w:p>
    <w:p>
      <w:pPr>
        <w:pStyle w:val="FirstParagraph"/>
      </w:pPr>
      <w:r>
        <w:t xml:space="preserve">The South Korea Seoul financial landscape presents unique opportunities and challenges. As the nation's economic engine, Seoul accounts for 34% of South Korea's GDP, with its global trade hub status attracting $85 billion in annual foreign direct investment. Our Banker professionals have capitalized on this by developing sector-specific solutions:</w:t>
      </w:r>
    </w:p>
    <w:p>
      <w:pPr>
        <w:pStyle w:val="BodyText"/>
      </w:pPr>
      <w:r>
        <w:rPr>
          <w:bCs/>
          <w:b/>
        </w:rPr>
        <w:t xml:space="preserve">Technology Sector Focus:</w:t>
      </w:r>
      <w:r>
        <w:t xml:space="preserve"> </w:t>
      </w:r>
      <w:r>
        <w:t xml:space="preserve">Partnered with 17 unicorns in Seoul's Gangnam district to provide tailored equity financing, resulting in a 300% increase in fintech client engagements. The South Korea Seoul government's "Digital New Deal" initiative has accelerated demand for our blockchain-based trade finance products.</w:t>
      </w:r>
    </w:p>
    <w:p>
      <w:pPr>
        <w:pStyle w:val="BodyText"/>
      </w:pPr>
      <w:r>
        <w:rPr>
          <w:bCs/>
          <w:b/>
        </w:rPr>
        <w:t xml:space="preserve">Corporate Banking Innovations:</w:t>
      </w:r>
      <w:r>
        <w:t xml:space="preserve"> </w:t>
      </w:r>
      <w:r>
        <w:t xml:space="preserve">Launched the "Seoul Smart Treasury" platform, integrating AI-driven cash flow forecasting with local tax regulations. This solution secured contracts with 23 major chaebols (Samsung, Hyundai, LG), directly contributing to 47% of our corporate sales growth in Q3.</w:t>
      </w:r>
    </w:p>
    <w:p>
      <w:pPr>
        <w:pStyle w:val="BodyText"/>
      </w:pPr>
      <w:r>
        <w:t xml:space="preserve">The South Korea Seoul market's regulatory environment requires specialized expertise. Our Banker team earned the highest compliance score (98.7%) among all regional offices for navigating Financial Services Commission (FSC) guidelines, ensuring seamless service delivery during market volatility.</w:t>
      </w:r>
    </w:p>
    <w:bookmarkEnd w:id="22"/>
    <w:bookmarkStart w:id="23" w:name="Xedc7097f46e88d03324e3724e53b6c6615685d1"/>
    <w:p>
      <w:pPr>
        <w:pStyle w:val="Heading2"/>
      </w:pPr>
      <w:r>
        <w:t xml:space="preserve">IV. Strategic Initiatives Driving Success</w:t>
      </w:r>
    </w:p>
    <w:p>
      <w:pPr>
        <w:pStyle w:val="FirstParagraph"/>
      </w:pPr>
      <w:r>
        <w:t xml:space="preserve">The Sales Report identifies three transformative initiatives executed by our Seoul Banker network:</w:t>
      </w:r>
    </w:p>
    <w:p>
      <w:pPr>
        <w:numPr>
          <w:ilvl w:val="0"/>
          <w:numId w:val="1002"/>
        </w:numPr>
        <w:pStyle w:val="Compact"/>
      </w:pPr>
      <w:r>
        <w:rPr>
          <w:bCs/>
          <w:b/>
        </w:rPr>
        <w:t xml:space="preserve">Cultural Intelligence Integration:</w:t>
      </w:r>
      <w:r>
        <w:t xml:space="preserve"> </w:t>
      </w:r>
      <w:r>
        <w:t xml:space="preserve">Banker professionals underwent intensive "Korean Business Etiquette" certification, enabling them to navigate hierarchical corporate structures and build trust with local executives. This initiative directly increased closing rates with Fortune 500 Korean firms by 38%.</w:t>
      </w:r>
    </w:p>
    <w:p>
      <w:pPr>
        <w:numPr>
          <w:ilvl w:val="0"/>
          <w:numId w:val="1002"/>
        </w:numPr>
        <w:pStyle w:val="Compact"/>
      </w:pPr>
      <w:r>
        <w:rPr>
          <w:bCs/>
          <w:b/>
        </w:rPr>
        <w:t xml:space="preserve">Digital-First Client Engagement:</w:t>
      </w:r>
      <w:r>
        <w:t xml:space="preserve"> </w:t>
      </w:r>
      <w:r>
        <w:t xml:space="preserve">Leveraged Seoul's world-leading 5G infrastructure to deploy AR-based financial planning tools during client meetings. The Banker team reported a 62% higher satisfaction rate for virtual consultations compared to traditional in-person meetings.</w:t>
      </w:r>
    </w:p>
    <w:p>
      <w:pPr>
        <w:numPr>
          <w:ilvl w:val="0"/>
          <w:numId w:val="1002"/>
        </w:numPr>
        <w:pStyle w:val="Compact"/>
      </w:pPr>
      <w:r>
        <w:rPr>
          <w:bCs/>
          <w:b/>
        </w:rPr>
        <w:t xml:space="preserve">Government Partnership Program:</w:t>
      </w:r>
      <w:r>
        <w:t xml:space="preserve"> </w:t>
      </w:r>
      <w:r>
        <w:t xml:space="preserve">Collaborated with Seoul Metropolitan Government on the "Innovation Finance Initiative," providing low-cost capital to startups in Songpa Innovation District. This positioned our Banker brand as a catalyst for Seoul's economic ecosystem, generating 150+ qualified leads.</w:t>
      </w:r>
    </w:p>
    <w:bookmarkEnd w:id="23"/>
    <w:bookmarkStart w:id="24" w:name="v.-challenges-solutions"/>
    <w:p>
      <w:pPr>
        <w:pStyle w:val="Heading2"/>
      </w:pPr>
      <w:r>
        <w:t xml:space="preserve">V. Challenges &amp; Solutions</w:t>
      </w:r>
    </w:p>
    <w:p>
      <w:pPr>
        <w:pStyle w:val="FirstParagraph"/>
      </w:pPr>
      <w:r>
        <w:t xml:space="preserve">While the South Korea Seoul market offered abundant opportunities, our Banker team navigated significant hurdles:</w:t>
      </w:r>
    </w:p>
    <w:p>
      <w:pPr>
        <w:numPr>
          <w:ilvl w:val="0"/>
          <w:numId w:val="1003"/>
        </w:numPr>
        <w:pStyle w:val="Compact"/>
      </w:pPr>
      <w:r>
        <w:rPr>
          <w:bCs/>
          <w:b/>
        </w:rPr>
        <w:t xml:space="preserve">Competitive Pressure:</w:t>
      </w:r>
      <w:r>
        <w:t xml:space="preserve"> </w:t>
      </w:r>
      <w:r>
        <w:t xml:space="preserve">Local banks increased retail offerings, threatening premium client retention. *Solution:* Our Seoul Banker developed "Concierge Wealth Management" packages with exclusive access to Seoul's luxury shopping districts and cultural experiences (e.g., VIP access to Gyeongbokgung Palace events), differentiating our service.</w:t>
      </w:r>
    </w:p>
    <w:p>
      <w:pPr>
        <w:numPr>
          <w:ilvl w:val="0"/>
          <w:numId w:val="1003"/>
        </w:numPr>
        <w:pStyle w:val="Compact"/>
      </w:pPr>
      <w:r>
        <w:rPr>
          <w:bCs/>
          <w:b/>
        </w:rPr>
        <w:t xml:space="preserve">Regulatory Complexity:</w:t>
      </w:r>
      <w:r>
        <w:t xml:space="preserve"> </w:t>
      </w:r>
      <w:r>
        <w:t xml:space="preserve">Evolving crypto asset regulations. *Solution:* Implemented a real-time regulatory monitoring system co-developed with Seoul FSC, enabling Banker staff to instantly advise clients on compliance – reducing client uncertainty by 73%.</w:t>
      </w:r>
    </w:p>
    <w:bookmarkEnd w:id="24"/>
    <w:bookmarkStart w:id="25" w:name="Xf6afc8bf4056f63f2183dfea759d33e5ac473af"/>
    <w:p>
      <w:pPr>
        <w:pStyle w:val="Heading2"/>
      </w:pPr>
      <w:r>
        <w:t xml:space="preserve">VI. Future Outlook: Scaling Success in South Korea Seoul</w:t>
      </w:r>
    </w:p>
    <w:p>
      <w:pPr>
        <w:pStyle w:val="FirstParagraph"/>
      </w:pPr>
      <w:r>
        <w:t xml:space="preserve">This Sales Report projects continued momentum for our Banker operations in South Korea Seoul. Key priorities include:</w:t>
      </w:r>
    </w:p>
    <w:p>
      <w:pPr>
        <w:numPr>
          <w:ilvl w:val="0"/>
          <w:numId w:val="1004"/>
        </w:numPr>
        <w:pStyle w:val="Compact"/>
      </w:pPr>
      <w:r>
        <w:rPr>
          <w:bCs/>
          <w:b/>
        </w:rPr>
        <w:t xml:space="preserve">Expanding ESG Services:</w:t>
      </w:r>
      <w:r>
        <w:t xml:space="preserve"> </w:t>
      </w:r>
      <w:r>
        <w:t xml:space="preserve">Launching a dedicated "Seoul Green Finance" division targeting the city's $12 billion sustainability bond market, directly supporting South Korea's 2030 carbon neutrality goals.</w:t>
      </w:r>
    </w:p>
    <w:p>
      <w:pPr>
        <w:numPr>
          <w:ilvl w:val="0"/>
          <w:numId w:val="1004"/>
        </w:numPr>
        <w:pStyle w:val="Compact"/>
      </w:pPr>
      <w:r>
        <w:rPr>
          <w:bCs/>
          <w:b/>
        </w:rPr>
        <w:t xml:space="preserve">Talent Development:</w:t>
      </w:r>
      <w:r>
        <w:t xml:space="preserve"> </w:t>
      </w:r>
      <w:r>
        <w:t xml:space="preserve">Establishing a Seoul-based Banker Academy to train 50 new professionals annually in Korean financial systems and language proficiency.</w:t>
      </w:r>
    </w:p>
    <w:p>
      <w:pPr>
        <w:numPr>
          <w:ilvl w:val="0"/>
          <w:numId w:val="1004"/>
        </w:numPr>
        <w:pStyle w:val="Compact"/>
      </w:pPr>
      <w:r>
        <w:rPr>
          <w:bCs/>
          <w:b/>
        </w:rPr>
        <w:t xml:space="preserve">Technology Investment:</w:t>
      </w:r>
      <w:r>
        <w:t xml:space="preserve"> </w:t>
      </w:r>
      <w:r>
        <w:t xml:space="preserve">Deploying a Seoul-specific AI credit scoring model trained on local economic data, expected to increase loan approvals by 25% while maintaining risk standards.</w:t>
      </w:r>
    </w:p>
    <w:bookmarkEnd w:id="25"/>
    <w:bookmarkStart w:id="27" w:name="vii.-conclusion"/>
    <w:p>
      <w:pPr>
        <w:pStyle w:val="Heading2"/>
      </w:pPr>
      <w:r>
        <w:t xml:space="preserve">VII. Conclusion</w:t>
      </w:r>
    </w:p>
    <w:p>
      <w:pPr>
        <w:pStyle w:val="FirstParagraph"/>
      </w:pPr>
      <w:r>
        <w:t xml:space="preserve">The South Korea Seoul market remains the cornerstone of our Asian banking strategy. This Sales Report conclusively demonstrates that our Banker professionals – through cultural mastery, technological agility, and client-centric innovation – have transformed Seoul into a high-growth revenue engine. The 18% YoY sales growth in South Korea Seoul underscores how localized expertise drives global success. As we move toward Q4, the Banker team will prioritize deepening partnerships with Seoul's economic development agencies to position our firm as the preferred financial partner for South Korea's next decade of innovation. We project $500 million in new business opportunities emerging from this strategic focus within the next 12 months.</w:t>
      </w:r>
    </w:p>
    <w:p>
      <w:pPr>
        <w:pStyle w:val="BodyText"/>
      </w:pPr>
      <w:r>
        <w:rPr>
          <w:iCs/>
          <w:i/>
        </w:rPr>
        <w:t xml:space="preserve">"In Seoul, where tradition meets hyper-modernity, our Banker team doesn't just sell services – they engineer financial solutions that resonate with Korea's unique economic heartbeat."</w:t>
      </w:r>
      <w:r>
        <w:t xml:space="preserve"> </w:t>
      </w:r>
      <w:r>
        <w:t xml:space="preserve">– Regional Sales Director, South Korea</w:t>
      </w:r>
    </w:p>
    <w:bookmarkStart w:id="26" w:name="X82a6e6bb5969c31d3a08cf0ca6025aa4ef7ca52"/>
    <w:p>
      <w:pPr>
        <w:pStyle w:val="Heading3"/>
      </w:pPr>
      <w:r>
        <w:t xml:space="preserve">APPENDIX: Key Metrics Snapshot (South Korea Seoul -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Client Acquisition</w:t>
      </w:r>
    </w:p>
    <w:p>
      <w:pPr>
        <w:pStyle w:val="BodyText"/>
      </w:pPr>
      <w:r>
        <w:t xml:space="preserve">378</w:t>
      </w:r>
    </w:p>
    <w:p>
      <w:pPr>
        <w:pStyle w:val="BodyText"/>
      </w:pPr>
      <w:r>
        <w:t xml:space="preserve">310</w:t>
      </w:r>
    </w:p>
    <w:p>
      <w:pPr>
        <w:pStyle w:val="BodyText"/>
      </w:pPr>
      <w:r>
        <w:t xml:space="preserve">+21.9%</w:t>
      </w:r>
    </w:p>
    <w:p>
      <w:pPr>
        <w:pStyle w:val="BodyText"/>
      </w:pPr>
      <w:r>
        <w:t xml:space="preserve">AUM Growth (New)</w:t>
      </w:r>
    </w:p>
    <w:p>
      <w:pPr>
        <w:pStyle w:val="BodyText"/>
      </w:pPr>
      <w:r>
        <w:t xml:space="preserve">$4.2B</w:t>
      </w:r>
    </w:p>
    <w:p>
      <w:pPr>
        <w:pStyle w:val="BodyText"/>
      </w:pPr>
      <w:r>
        <w:t xml:space="preserve">&lt;</w:t>
      </w:r>
    </w:p>
    <w:p>
      <w:pPr>
        <w:pStyle w:val="BodyText"/>
      </w:pPr>
      <w:r>
        <w:t xml:space="preserve">$3.2B</w:t>
      </w:r>
    </w:p>
    <w:p>
      <w:pPr>
        <w:pStyle w:val="BodyText"/>
      </w:pPr>
      <w:r>
        <w:t xml:space="preserve">31.2%</w:t>
      </w:r>
    </w:p>
    <w:p>
      <w:pPr>
        <w:pStyle w:val="BodyText"/>
      </w:pPr>
      <w:r>
        <w:t xml:space="preserve">Client Retention Rate</w:t>
      </w:r>
    </w:p>
    <w:p>
      <w:pPr>
        <w:pStyle w:val="BodyText"/>
      </w:pPr>
      <w:r>
        <w:t xml:space="preserve">96.3%</w:t>
      </w:r>
    </w:p>
    <w:p>
      <w:pPr>
        <w:pStyle w:val="BodyText"/>
      </w:pPr>
      <w:r>
        <w:t xml:space="preserve">94.8%</w:t>
      </w:r>
    </w:p>
    <w:p>
      <w:pPr>
        <w:pStyle w:val="BodyText"/>
      </w:pPr>
      <w:r>
        <w:t xml:space="preserve">+150 bps</w:t>
      </w:r>
    </w:p>
    <w:p>
      <w:pPr>
        <w:pStyle w:val="BodyText"/>
      </w:pPr>
      <w:r>
        <w:rPr>
          <w:bCs/>
          <w:b/>
        </w:rPr>
        <w:t xml:space="preserve">Total Words:</w:t>
      </w:r>
      <w:r>
        <w:t xml:space="preserve"> </w:t>
      </w:r>
      <w:r>
        <w:t xml:space="preserve">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Korea Seoul Sales Report: Banker Performance Analysis</dc:title>
  <dc:creator/>
  <dc:language>en</dc:language>
  <cp:keywords/>
  <dcterms:created xsi:type="dcterms:W3CDTF">2026-07-24T16:52:43Z</dcterms:created>
  <dcterms:modified xsi:type="dcterms:W3CDTF">2026-07-24T16:52:43Z</dcterms:modified>
</cp:coreProperties>
</file>

<file path=docProps/custom.xml><?xml version="1.0" encoding="utf-8"?>
<Properties xmlns="http://schemas.openxmlformats.org/officeDocument/2006/custom-properties" xmlns:vt="http://schemas.openxmlformats.org/officeDocument/2006/docPropsVTypes"/>
</file>