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Spain</w:t>
      </w:r>
      <w:r>
        <w:t xml:space="preserve"> </w:t>
      </w:r>
      <w:r>
        <w:t xml:space="preserve">Barcelona</w:t>
      </w:r>
      <w:r>
        <w:t xml:space="preserve"> </w:t>
      </w:r>
      <w:r>
        <w:t xml:space="preserve">Sales</w:t>
      </w:r>
      <w:r>
        <w:t xml:space="preserve"> </w:t>
      </w:r>
      <w:r>
        <w:t xml:space="preserve">Report</w:t>
      </w:r>
      <w:r>
        <w:t xml:space="preserve"> </w:t>
      </w:r>
      <w:r>
        <w:t xml:space="preserve">-</w:t>
      </w:r>
      <w:r>
        <w:t xml:space="preserve"> </w:t>
      </w:r>
      <w:r>
        <w:t xml:space="preserve">Banking</w:t>
      </w:r>
      <w:r>
        <w:t xml:space="preserve"> </w:t>
      </w:r>
      <w:r>
        <w:t xml:space="preserve">Excellence</w:t>
      </w:r>
    </w:p>
    <w:bookmarkStart w:id="30" w:name="Xfb272d9cf70e41d4a832fe23d3c9b9db5d8857e"/>
    <w:p>
      <w:pPr>
        <w:pStyle w:val="Heading1"/>
      </w:pPr>
      <w:r>
        <w:t xml:space="preserve">COMPREHENSIVE SALES REPORT: BANKER PERFORMANCE IN SPAIN BARCELONA</w:t>
      </w:r>
    </w:p>
    <w:p>
      <w:pPr>
        <w:pStyle w:val="FirstParagraph"/>
      </w:pPr>
      <w:r>
        <w:t xml:space="preserve">Prepared for Executive Leadership | Q3 2023 | Barcelona Regional Office</w:t>
      </w:r>
    </w:p>
    <w:bookmarkStart w:id="20" w:name="executive-summary"/>
    <w:p>
      <w:pPr>
        <w:pStyle w:val="Heading2"/>
      </w:pPr>
      <w:r>
        <w:t xml:space="preserve">Executive Summary</w:t>
      </w:r>
    </w:p>
    <w:p>
      <w:pPr>
        <w:pStyle w:val="FirstParagraph"/>
      </w:pPr>
      <w:r>
        <w:t xml:space="preserve">This Sales Report details the exceptional performance of our banking team in Spain Barcelona during Q3 2023, highlighting strategic sales achievements, market insights, and growth opportunities. As a premier Banker serving the dynamic financial landscape of Spain Barcelona, our regional office has demonstrated outstanding results that reinforce our leadership position in one of Europe's most vibrant economic centers. The report confirms that our Banker strategy is effectively driving revenue growth through client-centric solutions tailored to Barcelona's unique business ecosystem.</w:t>
      </w:r>
    </w:p>
    <w:bookmarkEnd w:id="20"/>
    <w:bookmarkStart w:id="21" w:name="X96d8dba7fecff31e4cc07fb1deac9c6f8f9fe07"/>
    <w:p>
      <w:pPr>
        <w:pStyle w:val="Heading2"/>
      </w:pPr>
      <w:r>
        <w:t xml:space="preserve">Market Context: Spain Barcelona Banking Landscape</w:t>
      </w:r>
    </w:p>
    <w:p>
      <w:pPr>
        <w:pStyle w:val="FirstParagraph"/>
      </w:pPr>
      <w:r>
        <w:t xml:space="preserve">Spain Barcelona remains a critical economic engine within the Eurozone, contributing 18% to national GDP and hosting over 15,000 multinational corporations. As a Banker operating in this environment, we've witnessed unprecedented demand for sophisticated financial solutions driven by Barcelona's status as Europe's #1 startup hub (42% of Spain's tech unicorns) and its strategic position as gateway to Mediterranean markets. Our Sales Report analysis confirms that 78% of local businesses seek banking partners who understand the nuances of Spain Barcelona's commercial culture – where relationship depth often outweighs transaction speed.</w:t>
      </w:r>
    </w:p>
    <w:bookmarkEnd w:id="21"/>
    <w:bookmarkStart w:id="22" w:name="key-sales-performance-metrics-q3-2023"/>
    <w:p>
      <w:pPr>
        <w:pStyle w:val="Heading2"/>
      </w:pPr>
      <w:r>
        <w:t xml:space="preserve">Key Sales Performance Metrics (Q3 2023)</w:t>
      </w:r>
    </w:p>
    <w:p>
      <w:pPr>
        <w:pStyle w:val="FirstParagraph"/>
      </w:pPr>
      <w:r>
        <w:t xml:space="preserve">Key Metric</w:t>
      </w:r>
    </w:p>
    <w:p>
      <w:pPr>
        <w:pStyle w:val="BodyText"/>
      </w:pPr>
      <w:r>
        <w:t xml:space="preserve">Q3 Target</w:t>
      </w:r>
    </w:p>
    <w:p>
      <w:pPr>
        <w:pStyle w:val="BodyText"/>
      </w:pPr>
      <w:r>
        <w:t xml:space="preserve">Actual Result</w:t>
      </w:r>
    </w:p>
    <w:p>
      <w:pPr>
        <w:pStyle w:val="BodyText"/>
      </w:pPr>
      <w:r>
        <w:t xml:space="preserve">Variance</w:t>
      </w:r>
    </w:p>
    <w:p>
      <w:pPr>
        <w:pStyle w:val="BodyText"/>
      </w:pPr>
      <w:r>
        <w:t xml:space="preserve">YoY Growth</w:t>
      </w:r>
    </w:p>
    <w:p>
      <w:pPr>
        <w:pStyle w:val="BodyText"/>
      </w:pPr>
      <w:r>
        <w:t xml:space="preserve">Total New Business Revenue (€)</w:t>
      </w:r>
    </w:p>
    <w:p>
      <w:pPr>
        <w:pStyle w:val="BodyText"/>
      </w:pPr>
      <w:r>
        <w:t xml:space="preserve">12.5M</w:t>
      </w:r>
    </w:p>
    <w:p>
      <w:pPr>
        <w:pStyle w:val="BodyText"/>
      </w:pPr>
      <w:r>
        <w:t xml:space="preserve">14.2M</w:t>
      </w:r>
    </w:p>
    <w:p>
      <w:pPr>
        <w:pStyle w:val="BodyText"/>
      </w:pPr>
      <w:r>
        <w:t xml:space="preserve">+13.6%</w:t>
      </w:r>
    </w:p>
    <w:p>
      <w:pPr>
        <w:pStyle w:val="BodyText"/>
      </w:pPr>
      <w:r>
        <w:t xml:space="preserve">+27.3%</w:t>
      </w:r>
    </w:p>
    <w:p>
      <w:pPr>
        <w:pStyle w:val="BodyText"/>
      </w:pPr>
      <w:r>
        <w:t xml:space="preserve">New Client Acquisition (Business)</w:t>
      </w:r>
    </w:p>
    <w:p>
      <w:pPr>
        <w:pStyle w:val="BodyText"/>
      </w:pPr>
      <w:r>
        <w:t xml:space="preserve">85</w:t>
      </w:r>
    </w:p>
    <w:p>
      <w:pPr>
        <w:pStyle w:val="BodyText"/>
      </w:pPr>
      <w:r>
        <w:t xml:space="preserve">102</w:t>
      </w:r>
    </w:p>
    <w:p>
      <w:pPr>
        <w:pStyle w:val="BodyText"/>
      </w:pPr>
      <w:r>
        <w:t xml:space="preserve">+19.9%</w:t>
      </w:r>
    </w:p>
    <w:p>
      <w:pPr>
        <w:pStyle w:val="BodyText"/>
      </w:pPr>
      <w:r>
        <w:t xml:space="preserve">+34.7%</w:t>
      </w:r>
    </w:p>
    <w:p>
      <w:pPr>
        <w:pStyle w:val="BodyText"/>
      </w:pPr>
      <w:r>
        <w:t xml:space="preserve">Cross-Sell Ratio (Products per Client)</w:t>
      </w:r>
    </w:p>
    <w:p>
      <w:pPr>
        <w:pStyle w:val="BodyText"/>
      </w:pPr>
      <w:r>
        <w:t xml:space="preserve">2.3</w:t>
      </w:r>
    </w:p>
    <w:p>
      <w:pPr>
        <w:pStyle w:val="BodyText"/>
      </w:pPr>
      <w:r>
        <w:t xml:space="preserve">2.8</w:t>
      </w:r>
    </w:p>
    <w:p>
      <w:pPr>
        <w:pStyle w:val="BodyText"/>
      </w:pPr>
      <w:r>
        <w:t xml:space="preserve">+21.7%</w:t>
      </w:r>
    </w:p>
    <w:p>
      <w:pPr>
        <w:pStyle w:val="BodyText"/>
      </w:pPr>
      <w:r>
        <w:t xml:space="preserve">+15.4%</w:t>
      </w:r>
    </w:p>
    <w:p>
      <w:pPr>
        <w:pStyle w:val="BodyText"/>
      </w:pPr>
      <w:r>
        <w:t xml:space="preserve">Cross-Border Transaction Volume (€)</w:t>
      </w:r>
    </w:p>
    <w:p>
      <w:pPr>
        <w:pStyle w:val="BodyText"/>
      </w:pPr>
      <w:r>
        <w:t xml:space="preserve">48M</w:t>
      </w:r>
    </w:p>
    <w:p>
      <w:pPr>
        <w:pStyle w:val="BodyText"/>
      </w:pPr>
      <w:r>
        <w:t xml:space="preserve">&lt;</w:t>
      </w:r>
    </w:p>
    <w:p>
      <w:pPr>
        <w:pStyle w:val="BodyText"/>
      </w:pPr>
      <w:r>
        <w:t xml:space="preserve">63M</w:t>
      </w:r>
    </w:p>
    <w:p>
      <w:pPr>
        <w:pStyle w:val="BodyText"/>
      </w:pPr>
      <w:r>
        <w:t xml:space="preserve">+31.2%</w:t>
      </w:r>
    </w:p>
    <w:p>
      <w:pPr>
        <w:pStyle w:val="BodyText"/>
      </w:pPr>
      <w:r>
        <w:t xml:space="preserve">+22.8%</w:t>
      </w:r>
    </w:p>
    <w:bookmarkEnd w:id="22"/>
    <w:bookmarkStart w:id="26" w:name="X16da24ec98e8a21be324e9242ee2d4430cc53ec"/>
    <w:p>
      <w:pPr>
        <w:pStyle w:val="Heading2"/>
      </w:pPr>
      <w:r>
        <w:t xml:space="preserve">Strategic Sales Insights from Spain Barcelona</w:t>
      </w:r>
    </w:p>
    <w:p>
      <w:pPr>
        <w:pStyle w:val="FirstParagraph"/>
      </w:pPr>
      <w:r>
        <w:t xml:space="preserve">Our Banker team has successfully navigated Barcelona's market complexities through three key strategic pillars:</w:t>
      </w:r>
    </w:p>
    <w:bookmarkStart w:id="23" w:name="hyper-localized-product-solutions"/>
    <w:p>
      <w:pPr>
        <w:pStyle w:val="Heading3"/>
      </w:pPr>
      <w:r>
        <w:t xml:space="preserve">1. Hyper-Localized Product Solutions</w:t>
      </w:r>
    </w:p>
    <w:p>
      <w:pPr>
        <w:pStyle w:val="FirstParagraph"/>
      </w:pPr>
      <w:r>
        <w:t xml:space="preserve">The Sales Report reveals that our tailored "Barcelona Tech Growth Package" achieved 41% adoption among local startups – a solution developed specifically for Spain Barcelona's innovation ecosystem. This product combines venture debt financing, multilingual FX services, and access to our Barcelona-based startup accelerator network. The Banker strategy of embedding industry specialists in the local market has driven 37% higher client retention compared to non-specialized teams.</w:t>
      </w:r>
    </w:p>
    <w:bookmarkEnd w:id="23"/>
    <w:bookmarkStart w:id="24" w:name="X398f2dc2df02ac563b9a2731fb65ebcfa5a58b4"/>
    <w:p>
      <w:pPr>
        <w:pStyle w:val="Heading3"/>
      </w:pPr>
      <w:r>
        <w:t xml:space="preserve">2. Cultural Intelligence in Client Engagement</w:t>
      </w:r>
    </w:p>
    <w:p>
      <w:pPr>
        <w:pStyle w:val="FirstParagraph"/>
      </w:pPr>
      <w:r>
        <w:t xml:space="preserve">As highlighted in our Barcelona Sales Report, the most successful Banker relationships were built through cultural alignment – particularly understanding that Spanish business culture prioritizes personal connections (relaciones) before transactions. Our team's implementation of "Café Conversations" – informal meetings at Barcelona's iconic cafés like Els Quatre Gats – increased referral rates by 58% among high-net-worth clients. This approach directly responds to the unique client expectations in Spain Barcelona where 67% of business decisions are influenced by personal rapport.</w:t>
      </w:r>
    </w:p>
    <w:bookmarkEnd w:id="24"/>
    <w:bookmarkStart w:id="25" w:name="X877c924a348f329177760c41be6ec8c7e18108b"/>
    <w:p>
      <w:pPr>
        <w:pStyle w:val="Heading3"/>
      </w:pPr>
      <w:r>
        <w:t xml:space="preserve">4. Digital Integration with Local Preferences</w:t>
      </w:r>
    </w:p>
    <w:p>
      <w:pPr>
        <w:pStyle w:val="FirstParagraph"/>
      </w:pPr>
      <w:r>
        <w:t xml:space="preserve">While digital transformation is global, our Sales Report shows that Spain Barcelona clients demand seamless integration between online platforms and local human support. Our Banker team's deployment of "Barcelona Digital Concierge" – offering in-person tech support at 21 regional branches – has reduced onboarding time by 45% for new business accounts. This hybrid model addresses the market's specific preference: 63% of Barcelona SMEs still require physical banking touchpoints despite digital adoption.</w:t>
      </w:r>
    </w:p>
    <w:bookmarkEnd w:id="25"/>
    <w:bookmarkEnd w:id="26"/>
    <w:bookmarkStart w:id="27" w:name="X65cb9123c6ff91844ae9214aeaaf5aa6a551dff"/>
    <w:p>
      <w:pPr>
        <w:pStyle w:val="Heading2"/>
      </w:pPr>
      <w:r>
        <w:t xml:space="preserve">Barcelona-Specific Challenges &amp; Strategic Responses</w:t>
      </w:r>
    </w:p>
    <w:p>
      <w:pPr>
        <w:pStyle w:val="FirstParagraph"/>
      </w:pPr>
      <w:r>
        <w:t xml:space="preserve">Our Sales Report identifies two critical challenges unique to Spain Barcelona:</w:t>
      </w:r>
    </w:p>
    <w:p>
      <w:pPr>
        <w:numPr>
          <w:ilvl w:val="0"/>
          <w:numId w:val="1001"/>
        </w:numPr>
        <w:pStyle w:val="Compact"/>
      </w:pPr>
      <w:r>
        <w:rPr>
          <w:bCs/>
          <w:b/>
        </w:rPr>
        <w:t xml:space="preserve">Regulatory Complexity:</w:t>
      </w:r>
      <w:r>
        <w:t xml:space="preserve"> </w:t>
      </w:r>
      <w:r>
        <w:t xml:space="preserve">Barcelona's position as EU headquarters for numerous financial services requires navigating both Spanish and EU banking regulations. Our Banker team achieved 100% compliance through dedicated regulatory workshops with local authorities, resulting in zero compliance penalties this quarter.</w:t>
      </w:r>
    </w:p>
    <w:p>
      <w:pPr>
        <w:numPr>
          <w:ilvl w:val="0"/>
          <w:numId w:val="1001"/>
        </w:numPr>
        <w:pStyle w:val="Compact"/>
      </w:pPr>
      <w:r>
        <w:rPr>
          <w:bCs/>
          <w:b/>
        </w:rPr>
        <w:t xml:space="preserve">Competitive Landscape:</w:t>
      </w:r>
      <w:r>
        <w:t xml:space="preserve"> </w:t>
      </w:r>
      <w:r>
        <w:t xml:space="preserve">Intense competition from both international banks and local Caixabank branches. The solution was our "Barcelona Advantage" program – bundling exclusive access to the city's tourism recovery fund (€150M) for businesses in hospitality, a sector critical to Spain Barcelona's economy. This created a 22% market share gain in the tourism finance segment.</w:t>
      </w:r>
    </w:p>
    <w:bookmarkEnd w:id="27"/>
    <w:bookmarkStart w:id="28" w:name="Xc3e056e6ec17f9fe35df3f14477a5b0eb02e6c7"/>
    <w:p>
      <w:pPr>
        <w:pStyle w:val="Heading2"/>
      </w:pPr>
      <w:r>
        <w:t xml:space="preserve">Future Strategy: Scaling Success in Spain Barcelona</w:t>
      </w:r>
    </w:p>
    <w:p>
      <w:pPr>
        <w:pStyle w:val="FirstParagraph"/>
      </w:pPr>
      <w:r>
        <w:t xml:space="preserve">Based on this Sales Report, our Banker growth strategy for Spain Barcelona focuses on three initiatives:</w:t>
      </w:r>
    </w:p>
    <w:p>
      <w:pPr>
        <w:numPr>
          <w:ilvl w:val="0"/>
          <w:numId w:val="1002"/>
        </w:numPr>
        <w:pStyle w:val="Compact"/>
      </w:pPr>
      <w:r>
        <w:rPr>
          <w:bCs/>
          <w:b/>
        </w:rPr>
        <w:t xml:space="preserve">Barcelona Impact Fund:</w:t>
      </w:r>
      <w:r>
        <w:t xml:space="preserve"> </w:t>
      </w:r>
      <w:r>
        <w:t xml:space="preserve">Launching a €20M dedicated fund supporting sustainable tourism and green tech ventures – directly addressing the city's strategic priorities as outlined in Barcelona's Climate Action Plan.</w:t>
      </w:r>
    </w:p>
    <w:p>
      <w:pPr>
        <w:numPr>
          <w:ilvl w:val="0"/>
          <w:numId w:val="1002"/>
        </w:numPr>
        <w:pStyle w:val="Compact"/>
      </w:pPr>
      <w:r>
        <w:rPr>
          <w:bCs/>
          <w:b/>
        </w:rPr>
        <w:t xml:space="preserve">Premium Localized Service Network:</w:t>
      </w:r>
      <w:r>
        <w:t xml:space="preserve"> </w:t>
      </w:r>
      <w:r>
        <w:t xml:space="preserve">Expanding our physical presence with 3 new neighborhood branches in emerging districts (Poble Nou, Sant Martí) where client demand has grown 300% YoY.</w:t>
      </w:r>
    </w:p>
    <w:p>
      <w:pPr>
        <w:numPr>
          <w:ilvl w:val="0"/>
          <w:numId w:val="1002"/>
        </w:numPr>
        <w:pStyle w:val="Compact"/>
      </w:pPr>
      <w:r>
        <w:rPr>
          <w:bCs/>
          <w:b/>
        </w:rPr>
        <w:t xml:space="preserve">AI-Powered Market Intelligence:</w:t>
      </w:r>
      <w:r>
        <w:t xml:space="preserve"> </w:t>
      </w:r>
      <w:r>
        <w:t xml:space="preserve">Implementing a Barcelona-specific analytics dashboard that tracks local economic indicators, enabling real-time sales strategy adjustments based on market pulses.</w:t>
      </w:r>
    </w:p>
    <w:bookmarkEnd w:id="28"/>
    <w:bookmarkStart w:id="29" w:name="conclusion-the-barcelona-advantage"/>
    <w:p>
      <w:pPr>
        <w:pStyle w:val="Heading2"/>
      </w:pPr>
      <w:r>
        <w:t xml:space="preserve">Conclusion: The Barcelona Advantage</w:t>
      </w:r>
    </w:p>
    <w:p>
      <w:pPr>
        <w:pStyle w:val="FirstParagraph"/>
      </w:pPr>
      <w:r>
        <w:t xml:space="preserve">This Sales Report unequivocally demonstrates that our Banker team has mastered the art of delivering exceptional results within Spain Barcelona's unique commercial environment. By deeply understanding local market dynamics, cultural nuances, and regulatory landscapes, we've not only met but exceeded sales targets while building enduring client relationships. The data confirms that our Barcelona-focused strategy is the differentiator in a competitive market – generating 23% higher customer lifetime value than other Spanish regions.</w:t>
      </w:r>
    </w:p>
    <w:p>
      <w:pPr>
        <w:pStyle w:val="BodyText"/>
      </w:pPr>
      <w:r>
        <w:t xml:space="preserve">As we move into Q4 2023, our Banker team will continue to leverage Spain Barcelona's economic momentum, with specific focus on supporting the city's new international trade initiatives and its ambitious digital transformation goals. This Sales Report serves as both a testament to our current success and a roadmap for sustained leadership in one of Europe's most dynamic banking markets. The Barcelona office has proven that when Banker strategies align with local market realities, extraordinary results follow.</w:t>
      </w:r>
    </w:p>
    <w:p>
      <w:pPr>
        <w:pStyle w:val="BodyText"/>
      </w:pPr>
      <w:r>
        <w:rPr>
          <w:bCs/>
          <w:b/>
        </w:rPr>
        <w:t xml:space="preserve">Prepared By:</w:t>
      </w:r>
      <w:r>
        <w:t xml:space="preserve"> </w:t>
      </w:r>
      <w:r>
        <w:t xml:space="preserve">Regional Sales Leadership, Spain Barcelona</w:t>
      </w:r>
    </w:p>
    <w:p>
      <w:pPr>
        <w:pStyle w:val="BodyText"/>
      </w:pPr>
      <w:r>
        <w:rPr>
          <w:bCs/>
          <w:b/>
        </w:rPr>
        <w:t xml:space="preserve">Date:</w:t>
      </w:r>
      <w:r>
        <w:t xml:space="preserve"> </w:t>
      </w:r>
      <w:r>
        <w:t xml:space="preserve">October 26, 2023</w:t>
      </w:r>
    </w:p>
    <w:p>
      <w:pPr>
        <w:pStyle w:val="BodyText"/>
      </w:pPr>
      <w:r>
        <w:t xml:space="preserve">"In Spain Barcelona, banking is not just transactions – it's building relationships that grow with the city. Our Banker success is measured in community impact as much as revenue." – Maria Lopez, Head of Sales, Barcelona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Spain Barcelona Sales Report - Banking Excellence</dc:title>
  <dc:creator/>
  <dc:language>en</dc:language>
  <cp:keywords/>
  <dcterms:created xsi:type="dcterms:W3CDTF">2026-07-21T08:47:05Z</dcterms:created>
  <dcterms:modified xsi:type="dcterms:W3CDTF">2026-07-21T08:47:05Z</dcterms:modified>
</cp:coreProperties>
</file>

<file path=docProps/custom.xml><?xml version="1.0" encoding="utf-8"?>
<Properties xmlns="http://schemas.openxmlformats.org/officeDocument/2006/custom-properties" xmlns:vt="http://schemas.openxmlformats.org/officeDocument/2006/docPropsVTypes"/>
</file>